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8"/>
        </w:rPr>
        <w:t>ЛИЧНЫЕ И ИМЕННЫЕ ФОНДЫ</w:t>
      </w:r>
    </w:p>
    <w:p>
      <w:pPr>
        <w:jc w:val="center"/>
      </w:pPr>
      <w:r>
        <w:rPr>
          <w:b/>
          <w:sz w:val="32"/>
        </w:rPr>
        <w:t>Финансовый контур Единого Государства</w:t>
      </w:r>
    </w:p>
    <w:p>
      <w:pPr>
        <w:jc w:val="center"/>
      </w:pPr>
      <w:r>
        <w:t>Концепция персональных, семейных, именных, наследственных и общественных фондов в рамках Новой финансовой системы ЕГ.</w:t>
      </w:r>
    </w:p>
    <w:p>
      <w:pPr>
        <w:pStyle w:val="Heading1"/>
      </w:pPr>
      <w:r>
        <w:t>1. Базовая идея</w:t>
      </w:r>
    </w:p>
    <w:p>
      <w:r>
        <w:t>Личный или именной фонд в системе ЕГ рассматривается как долгосрочный контур накопления, управления и целевого использования ценности, связанной с конкретным человеком, семьёй, родом, именем, научной школой, культурным наследием, общественной миссией или проектом.</w:t>
      </w:r>
    </w:p>
    <w:p>
      <w:r>
        <w:t>Фонд не заменяет банковский счёт и не означает самостоятельную эмиссию государственной валюты. Он является учётной и договорной оболочкой, в которой фиксируются активы, права, обязательства, доходы, целевые расходы, результаты интеллектуальной деятельности, социальный и природный эффект.</w:t>
      </w:r>
    </w:p>
    <w:p>
      <w:pPr>
        <w:pStyle w:val="Heading1"/>
      </w:pPr>
      <w:r>
        <w:t>2. Зачем нужны личные и именные фонды</w:t>
      </w:r>
    </w:p>
    <w:p>
      <w:pPr>
        <w:pStyle w:val="ListBullet"/>
      </w:pPr>
      <w:r>
        <w:t>Сохранение результата человеческого труда и интеллектуального капитала во времени.</w:t>
      </w:r>
    </w:p>
    <w:p>
      <w:pPr>
        <w:pStyle w:val="ListBullet"/>
      </w:pPr>
      <w:r>
        <w:t>Разделение текущего потребления и капитала развития.</w:t>
      </w:r>
    </w:p>
    <w:p>
      <w:pPr>
        <w:pStyle w:val="ListBullet"/>
      </w:pPr>
      <w:r>
        <w:t>Формирование прозрачной наследственной и благотворительной архитектуры.</w:t>
      </w:r>
    </w:p>
    <w:p>
      <w:pPr>
        <w:pStyle w:val="ListBullet"/>
      </w:pPr>
      <w:r>
        <w:t>Финансирование образования, науки, культуры, здоровья, семьи и долгосрочных проектов.</w:t>
      </w:r>
    </w:p>
    <w:p>
      <w:pPr>
        <w:pStyle w:val="ListBullet"/>
      </w:pPr>
      <w:r>
        <w:t>Защита целевого назначения активов за счёт правил фонда, аудита и многоуровневого контроля.</w:t>
      </w:r>
    </w:p>
    <w:p>
      <w:pPr>
        <w:pStyle w:val="ListBullet"/>
      </w:pPr>
      <w:r>
        <w:t>Связь финансового результата с миссией человека, семьи, рода или общественного проекта.</w:t>
      </w:r>
    </w:p>
    <w:p>
      <w:pPr>
        <w:pStyle w:val="Heading1"/>
      </w:pPr>
      <w:r>
        <w:t>3. Типология фондов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</w:tcPr>
          <w:p>
            <w:r>
              <w:t>Тип</w:t>
            </w:r>
          </w:p>
        </w:tc>
        <w:tc>
          <w:tcPr>
            <w:tcW w:type="dxa" w:w="2484"/>
          </w:tcPr>
          <w:p>
            <w:r>
              <w:t>Объект</w:t>
            </w:r>
          </w:p>
        </w:tc>
        <w:tc>
          <w:tcPr>
            <w:tcW w:type="dxa" w:w="2484"/>
          </w:tcPr>
          <w:p>
            <w:r>
              <w:t>Назначение</w:t>
            </w:r>
          </w:p>
        </w:tc>
        <w:tc>
          <w:tcPr>
            <w:tcW w:type="dxa" w:w="2484"/>
          </w:tcPr>
          <w:p>
            <w:r>
              <w:t>Горизонт</w:t>
            </w:r>
          </w:p>
        </w:tc>
      </w:tr>
      <w:tr>
        <w:tc>
          <w:tcPr>
            <w:tcW w:type="dxa" w:w="2484"/>
          </w:tcPr>
          <w:p>
            <w:r>
              <w:t>Личный фонд</w:t>
            </w:r>
          </w:p>
        </w:tc>
        <w:tc>
          <w:tcPr>
            <w:tcW w:type="dxa" w:w="2484"/>
          </w:tcPr>
          <w:p>
            <w:r>
              <w:t>Человек</w:t>
            </w:r>
          </w:p>
        </w:tc>
        <w:tc>
          <w:tcPr>
            <w:tcW w:type="dxa" w:w="2484"/>
          </w:tcPr>
          <w:p>
            <w:r>
              <w:t>Образование, здоровье, развитие, инвестиции, страховой резерв</w:t>
            </w:r>
          </w:p>
        </w:tc>
        <w:tc>
          <w:tcPr>
            <w:tcW w:type="dxa" w:w="2484"/>
          </w:tcPr>
          <w:p>
            <w:r>
              <w:t>Жизненный цикл</w:t>
            </w:r>
          </w:p>
        </w:tc>
      </w:tr>
      <w:tr>
        <w:tc>
          <w:tcPr>
            <w:tcW w:type="dxa" w:w="2484"/>
          </w:tcPr>
          <w:p>
            <w:r>
              <w:t>Семейный фонд</w:t>
            </w:r>
          </w:p>
        </w:tc>
        <w:tc>
          <w:tcPr>
            <w:tcW w:type="dxa" w:w="2484"/>
          </w:tcPr>
          <w:p>
            <w:r>
              <w:t>Семья</w:t>
            </w:r>
          </w:p>
        </w:tc>
        <w:tc>
          <w:tcPr>
            <w:tcW w:type="dxa" w:w="2484"/>
          </w:tcPr>
          <w:p>
            <w:r>
              <w:t>Жильё, образование детей, семейные активы, взаимопомощь</w:t>
            </w:r>
          </w:p>
        </w:tc>
        <w:tc>
          <w:tcPr>
            <w:tcW w:type="dxa" w:w="2484"/>
          </w:tcPr>
          <w:p>
            <w:r>
              <w:t>Поколение</w:t>
            </w:r>
          </w:p>
        </w:tc>
      </w:tr>
      <w:tr>
        <w:tc>
          <w:tcPr>
            <w:tcW w:type="dxa" w:w="2484"/>
          </w:tcPr>
          <w:p>
            <w:r>
              <w:t>Родовой фонд</w:t>
            </w:r>
          </w:p>
        </w:tc>
        <w:tc>
          <w:tcPr>
            <w:tcW w:type="dxa" w:w="2484"/>
          </w:tcPr>
          <w:p>
            <w:r>
              <w:t>Род/династия</w:t>
            </w:r>
          </w:p>
        </w:tc>
        <w:tc>
          <w:tcPr>
            <w:tcW w:type="dxa" w:w="2484"/>
          </w:tcPr>
          <w:p>
            <w:r>
              <w:t>Наследие, земля, архив, долгосрочный капитал</w:t>
            </w:r>
          </w:p>
        </w:tc>
        <w:tc>
          <w:tcPr>
            <w:tcW w:type="dxa" w:w="2484"/>
          </w:tcPr>
          <w:p>
            <w:r>
              <w:t>Многопоколенческий</w:t>
            </w:r>
          </w:p>
        </w:tc>
      </w:tr>
      <w:tr>
        <w:tc>
          <w:tcPr>
            <w:tcW w:type="dxa" w:w="2484"/>
          </w:tcPr>
          <w:p>
            <w:r>
              <w:t>Именной фонд</w:t>
            </w:r>
          </w:p>
        </w:tc>
        <w:tc>
          <w:tcPr>
            <w:tcW w:type="dxa" w:w="2484"/>
          </w:tcPr>
          <w:p>
            <w:r>
              <w:t>Имя/личность</w:t>
            </w:r>
          </w:p>
        </w:tc>
        <w:tc>
          <w:tcPr>
            <w:tcW w:type="dxa" w:w="2484"/>
          </w:tcPr>
          <w:p>
            <w:r>
              <w:t>Наука, культура, премии, гранты, мемориальные программы</w:t>
            </w:r>
          </w:p>
        </w:tc>
        <w:tc>
          <w:tcPr>
            <w:tcW w:type="dxa" w:w="2484"/>
          </w:tcPr>
          <w:p>
            <w:r>
              <w:t>Бессрочный</w:t>
            </w:r>
          </w:p>
        </w:tc>
      </w:tr>
      <w:tr>
        <w:tc>
          <w:tcPr>
            <w:tcW w:type="dxa" w:w="2484"/>
          </w:tcPr>
          <w:p>
            <w:r>
              <w:t>Фонд автора/изобретателя</w:t>
            </w:r>
          </w:p>
        </w:tc>
        <w:tc>
          <w:tcPr>
            <w:tcW w:type="dxa" w:w="2484"/>
          </w:tcPr>
          <w:p>
            <w:r>
              <w:t>РИД/ОИС</w:t>
            </w:r>
          </w:p>
        </w:tc>
        <w:tc>
          <w:tcPr>
            <w:tcW w:type="dxa" w:w="2484"/>
          </w:tcPr>
          <w:p>
            <w:r>
              <w:t>Лицензирование, авторские выплаты, новые НИОКР</w:t>
            </w:r>
          </w:p>
        </w:tc>
        <w:tc>
          <w:tcPr>
            <w:tcW w:type="dxa" w:w="2484"/>
          </w:tcPr>
          <w:p>
            <w:r>
              <w:t>Срок прав + развитие</w:t>
            </w:r>
          </w:p>
        </w:tc>
      </w:tr>
      <w:tr>
        <w:tc>
          <w:tcPr>
            <w:tcW w:type="dxa" w:w="2484"/>
          </w:tcPr>
          <w:p>
            <w:r>
              <w:t>Фонд народного наследия</w:t>
            </w:r>
          </w:p>
        </w:tc>
        <w:tc>
          <w:tcPr>
            <w:tcW w:type="dxa" w:w="2484"/>
          </w:tcPr>
          <w:p>
            <w:r>
              <w:t>Народ/община</w:t>
            </w:r>
          </w:p>
        </w:tc>
        <w:tc>
          <w:tcPr>
            <w:tcW w:type="dxa" w:w="2484"/>
          </w:tcPr>
          <w:p>
            <w:r>
              <w:t>Язык, традиции, архивы, ремёсла, образование</w:t>
            </w:r>
          </w:p>
        </w:tc>
        <w:tc>
          <w:tcPr>
            <w:tcW w:type="dxa" w:w="2484"/>
          </w:tcPr>
          <w:p>
            <w:r>
              <w:t>Бессрочный</w:t>
            </w:r>
          </w:p>
        </w:tc>
      </w:tr>
      <w:tr>
        <w:tc>
          <w:tcPr>
            <w:tcW w:type="dxa" w:w="2484"/>
          </w:tcPr>
          <w:p>
            <w:r>
              <w:t>Целевой проектный фонд</w:t>
            </w:r>
          </w:p>
        </w:tc>
        <w:tc>
          <w:tcPr>
            <w:tcW w:type="dxa" w:w="2484"/>
          </w:tcPr>
          <w:p>
            <w:r>
              <w:t>Проект</w:t>
            </w:r>
          </w:p>
        </w:tc>
        <w:tc>
          <w:tcPr>
            <w:tcW w:type="dxa" w:w="2484"/>
          </w:tcPr>
          <w:p>
            <w:r>
              <w:t>Строительство, исследования, экология, инфраструктура</w:t>
            </w:r>
          </w:p>
        </w:tc>
        <w:tc>
          <w:tcPr>
            <w:tcW w:type="dxa" w:w="2484"/>
          </w:tcPr>
          <w:p>
            <w:r>
              <w:t>До результата</w:t>
            </w:r>
          </w:p>
        </w:tc>
      </w:tr>
      <w:tr>
        <w:tc>
          <w:tcPr>
            <w:tcW w:type="dxa" w:w="2484"/>
          </w:tcPr>
          <w:p>
            <w:r>
              <w:t>Фонд будущих поколений</w:t>
            </w:r>
          </w:p>
        </w:tc>
        <w:tc>
          <w:tcPr>
            <w:tcW w:type="dxa" w:w="2484"/>
          </w:tcPr>
          <w:p>
            <w:r>
              <w:t>Сообщество</w:t>
            </w:r>
          </w:p>
        </w:tc>
        <w:tc>
          <w:tcPr>
            <w:tcW w:type="dxa" w:w="2484"/>
          </w:tcPr>
          <w:p>
            <w:r>
              <w:t>Долгосрочный резерв и природный капитал</w:t>
            </w:r>
          </w:p>
        </w:tc>
        <w:tc>
          <w:tcPr>
            <w:tcW w:type="dxa" w:w="2484"/>
          </w:tcPr>
          <w:p>
            <w:r>
              <w:t>50–100+ лет</w:t>
            </w:r>
          </w:p>
        </w:tc>
      </w:tr>
    </w:tbl>
    <w:p>
      <w:pPr>
        <w:pStyle w:val="Heading1"/>
      </w:pPr>
      <w:r>
        <w:t>4. Паспорт фонда</w:t>
      </w:r>
    </w:p>
    <w:p>
      <w:r>
        <w:t>Каждый фонд получает цифровой паспорт в Метареестре ЕГ. Паспорт должен содержать не только деньги, но и смысл, происхождение и ограничения использования.</w:t>
      </w:r>
    </w:p>
    <w:p>
      <w:pPr>
        <w:pStyle w:val="ListBullet"/>
      </w:pPr>
      <w:r>
        <w:t>ID фонда и юридическая оболочка.</w:t>
      </w:r>
    </w:p>
    <w:p>
      <w:pPr>
        <w:pStyle w:val="ListBullet"/>
      </w:pPr>
      <w:r>
        <w:t>Учредитель, выгодоприобретатели и органы управления.</w:t>
      </w:r>
    </w:p>
    <w:p>
      <w:pPr>
        <w:pStyle w:val="ListBullet"/>
      </w:pPr>
      <w:r>
        <w:t>Миссия и перечень допустимых целей.</w:t>
      </w:r>
    </w:p>
    <w:p>
      <w:pPr>
        <w:pStyle w:val="ListBullet"/>
      </w:pPr>
      <w:r>
        <w:t>Состав активов: деньги, ценные бумаги, доли, недвижимость, РИД/ОИС, цифровые права, коллекции, архивы.</w:t>
      </w:r>
    </w:p>
    <w:p>
      <w:pPr>
        <w:pStyle w:val="ListBullet"/>
      </w:pPr>
      <w:r>
        <w:t>Источники поступлений и правила распределения.</w:t>
      </w:r>
    </w:p>
    <w:p>
      <w:pPr>
        <w:pStyle w:val="ListBullet"/>
      </w:pPr>
      <w:r>
        <w:t>Минимальный резерв и инвестиционная политика.</w:t>
      </w:r>
    </w:p>
    <w:p>
      <w:pPr>
        <w:pStyle w:val="ListBullet"/>
      </w:pPr>
      <w:r>
        <w:t>Правила наследования, преемственности и прекращения.</w:t>
      </w:r>
    </w:p>
    <w:p>
      <w:pPr>
        <w:pStyle w:val="ListBullet"/>
      </w:pPr>
      <w:r>
        <w:t>MSK-код смысла, TX-коды операций и показатели Живого Баланса.</w:t>
      </w:r>
    </w:p>
    <w:p>
      <w:pPr>
        <w:pStyle w:val="ListBullet"/>
      </w:pPr>
      <w:r>
        <w:t>Контур комплаенса, аудита, конфликта интересов и защиты.</w:t>
      </w:r>
    </w:p>
    <w:p>
      <w:pPr>
        <w:pStyle w:val="Heading1"/>
      </w:pPr>
      <w:r>
        <w:t>5. Архитектура личного капитала</w:t>
      </w:r>
    </w:p>
    <w:p>
      <w:r>
        <w:t>Персональный капитал предлагается разделять на независимые корзины, чтобы текущие расходы не уничтожали капитал будущего:</w:t>
      </w:r>
    </w:p>
    <w:p>
      <w:pPr>
        <w:pStyle w:val="ListBullet"/>
      </w:pPr>
      <w:r>
        <w:t>Жизненный резерв — базовая ликвидность и защита от шоков.</w:t>
      </w:r>
    </w:p>
    <w:p>
      <w:pPr>
        <w:pStyle w:val="ListBullet"/>
      </w:pPr>
      <w:r>
        <w:t>Капитал развития — образование, повышение квалификации, исследования.</w:t>
      </w:r>
    </w:p>
    <w:p>
      <w:pPr>
        <w:pStyle w:val="ListBullet"/>
      </w:pPr>
      <w:r>
        <w:t>Инвестиционный капитал — долгосрочные вложения.</w:t>
      </w:r>
    </w:p>
    <w:p>
      <w:pPr>
        <w:pStyle w:val="ListBullet"/>
      </w:pPr>
      <w:r>
        <w:t>Интеллектуальный капитал — права на РИД, авторские и лицензионные доходы.</w:t>
      </w:r>
    </w:p>
    <w:p>
      <w:pPr>
        <w:pStyle w:val="ListBullet"/>
      </w:pPr>
      <w:r>
        <w:t>Социальный капитал — вклад в общественные и семейные проекты.</w:t>
      </w:r>
    </w:p>
    <w:p>
      <w:pPr>
        <w:pStyle w:val="ListBullet"/>
      </w:pPr>
      <w:r>
        <w:t>Природный капитал — участие в восстановлении экосистем и территорий.</w:t>
      </w:r>
    </w:p>
    <w:p>
      <w:pPr>
        <w:pStyle w:val="ListBullet"/>
      </w:pPr>
      <w:r>
        <w:t>Наследственный капитал — активы, предназначенные будущим поколениям.</w:t>
      </w:r>
    </w:p>
    <w:p>
      <w:pPr>
        <w:pStyle w:val="Heading1"/>
      </w:pPr>
      <w:r>
        <w:t>6. Именной фонд как институт наследия</w:t>
      </w:r>
    </w:p>
    <w:p>
      <w:r>
        <w:t>Именной фонд позволяет отделить личность и её наследие от текущего владельца активов. Он может поддерживать научную школу, музей, библиотеку, премию, стипендиальную программу, архив, лабораторию, культурный центр или общественную миссию. Главный принцип — имя становится не маркетинговым знаком, а ответственностью за продолжение результата.</w:t>
      </w:r>
    </w:p>
    <w:p>
      <w:pPr>
        <w:pStyle w:val="Heading1"/>
      </w:pPr>
      <w:r>
        <w:t>7. Связь с Новой финансовой системой ЕГ</w:t>
      </w:r>
    </w:p>
    <w:p>
      <w:r>
        <w:t>В модели, где человек рассматривается как первичный источник создаваемой стоимости, фонд становится механизмом капитализации результата человека. Не человек печатает деньги, а подтверждённый результат его деятельности получает учёт, оценку, права и возможность финансирования.</w:t>
      </w:r>
    </w:p>
    <w:p>
      <w:pPr>
        <w:pStyle w:val="ListBullet"/>
      </w:pPr>
      <w:r>
        <w:t>Труд → подтверждённый доход и профессиональная репутация.</w:t>
      </w:r>
    </w:p>
    <w:p>
      <w:pPr>
        <w:pStyle w:val="ListBullet"/>
      </w:pPr>
      <w:r>
        <w:t>Знания → квалификация, образовательный капитал, РИД.</w:t>
      </w:r>
    </w:p>
    <w:p>
      <w:pPr>
        <w:pStyle w:val="ListBullet"/>
      </w:pPr>
      <w:r>
        <w:t>Изобретение → ОИС, лицензия, роялти, фонд следующего инновационного цикла.</w:t>
      </w:r>
    </w:p>
    <w:p>
      <w:pPr>
        <w:pStyle w:val="ListBullet"/>
      </w:pPr>
      <w:r>
        <w:t>Общественная деятельность → измеримый социальный эффект.</w:t>
      </w:r>
    </w:p>
    <w:p>
      <w:pPr>
        <w:pStyle w:val="ListBullet"/>
      </w:pPr>
      <w:r>
        <w:t>Экологическая деятельность → природный эффект в Живом Балансе.</w:t>
      </w:r>
    </w:p>
    <w:p>
      <w:pPr>
        <w:pStyle w:val="ListBullet"/>
      </w:pPr>
      <w:r>
        <w:t>Наследие → архив, права, коллекции, образовательные программы.</w:t>
      </w:r>
    </w:p>
    <w:p>
      <w:pPr>
        <w:pStyle w:val="Heading1"/>
      </w:pPr>
      <w:r>
        <w:t>8. Живой Баланс фонда</w:t>
      </w:r>
    </w:p>
    <w:p>
      <w:r>
        <w:t>Живой Баланс фонда должен показывать не только остаток средств, но и качество капитала. Для каждого периода фиксируются: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</w:tcPr>
          <w:p>
            <w:r>
              <w:t>Контур</w:t>
            </w:r>
          </w:p>
        </w:tc>
        <w:tc>
          <w:tcPr>
            <w:tcW w:type="dxa" w:w="3312"/>
          </w:tcPr>
          <w:p>
            <w:r>
              <w:t>Что учитывается</w:t>
            </w:r>
          </w:p>
        </w:tc>
        <w:tc>
          <w:tcPr>
            <w:tcW w:type="dxa" w:w="3312"/>
          </w:tcPr>
          <w:p>
            <w:r>
              <w:t>Пример показателя</w:t>
            </w:r>
          </w:p>
        </w:tc>
      </w:tr>
      <w:tr>
        <w:tc>
          <w:tcPr>
            <w:tcW w:type="dxa" w:w="3312"/>
          </w:tcPr>
          <w:p>
            <w:r>
              <w:t>Финансовый</w:t>
            </w:r>
          </w:p>
        </w:tc>
        <w:tc>
          <w:tcPr>
            <w:tcW w:type="dxa" w:w="3312"/>
          </w:tcPr>
          <w:p>
            <w:r>
              <w:t>Активы, обязательства, ликвидность, доходность</w:t>
            </w:r>
          </w:p>
        </w:tc>
        <w:tc>
          <w:tcPr>
            <w:tcW w:type="dxa" w:w="3312"/>
          </w:tcPr>
          <w:p>
            <w:r>
              <w:t>NAV, денежный резерв</w:t>
            </w:r>
          </w:p>
        </w:tc>
      </w:tr>
      <w:tr>
        <w:tc>
          <w:tcPr>
            <w:tcW w:type="dxa" w:w="3312"/>
          </w:tcPr>
          <w:p>
            <w:r>
              <w:t>Интеллектуальный</w:t>
            </w:r>
          </w:p>
        </w:tc>
        <w:tc>
          <w:tcPr>
            <w:tcW w:type="dxa" w:w="3312"/>
          </w:tcPr>
          <w:p>
            <w:r>
              <w:t>РИД, ОИС, лицензии, знания</w:t>
            </w:r>
          </w:p>
        </w:tc>
        <w:tc>
          <w:tcPr>
            <w:tcW w:type="dxa" w:w="3312"/>
          </w:tcPr>
          <w:p>
            <w:r>
              <w:t>Доход от прав, число активных лицензий</w:t>
            </w:r>
          </w:p>
        </w:tc>
      </w:tr>
      <w:tr>
        <w:tc>
          <w:tcPr>
            <w:tcW w:type="dxa" w:w="3312"/>
          </w:tcPr>
          <w:p>
            <w:r>
              <w:t>Человеческий</w:t>
            </w:r>
          </w:p>
        </w:tc>
        <w:tc>
          <w:tcPr>
            <w:tcW w:type="dxa" w:w="3312"/>
          </w:tcPr>
          <w:p>
            <w:r>
              <w:t>Образование, здоровье, компетенции</w:t>
            </w:r>
          </w:p>
        </w:tc>
        <w:tc>
          <w:tcPr>
            <w:tcW w:type="dxa" w:w="3312"/>
          </w:tcPr>
          <w:p>
            <w:r>
              <w:t>Индекс развития</w:t>
            </w:r>
          </w:p>
        </w:tc>
      </w:tr>
      <w:tr>
        <w:tc>
          <w:tcPr>
            <w:tcW w:type="dxa" w:w="3312"/>
          </w:tcPr>
          <w:p>
            <w:r>
              <w:t>Социальный</w:t>
            </w:r>
          </w:p>
        </w:tc>
        <w:tc>
          <w:tcPr>
            <w:tcW w:type="dxa" w:w="3312"/>
          </w:tcPr>
          <w:p>
            <w:r>
              <w:t>Семья, сообщества, общественные проекты</w:t>
            </w:r>
          </w:p>
        </w:tc>
        <w:tc>
          <w:tcPr>
            <w:tcW w:type="dxa" w:w="3312"/>
          </w:tcPr>
          <w:p>
            <w:r>
              <w:t>Социальный эффект</w:t>
            </w:r>
          </w:p>
        </w:tc>
      </w:tr>
      <w:tr>
        <w:tc>
          <w:tcPr>
            <w:tcW w:type="dxa" w:w="3312"/>
          </w:tcPr>
          <w:p>
            <w:r>
              <w:t>Природный</w:t>
            </w:r>
          </w:p>
        </w:tc>
        <w:tc>
          <w:tcPr>
            <w:tcW w:type="dxa" w:w="3312"/>
          </w:tcPr>
          <w:p>
            <w:r>
              <w:t>Восстановление и экологический след</w:t>
            </w:r>
          </w:p>
        </w:tc>
        <w:tc>
          <w:tcPr>
            <w:tcW w:type="dxa" w:w="3312"/>
          </w:tcPr>
          <w:p>
            <w:r>
              <w:t>ECO-индекс</w:t>
            </w:r>
          </w:p>
        </w:tc>
      </w:tr>
      <w:tr>
        <w:tc>
          <w:tcPr>
            <w:tcW w:type="dxa" w:w="3312"/>
          </w:tcPr>
          <w:p>
            <w:r>
              <w:t>Культурный</w:t>
            </w:r>
          </w:p>
        </w:tc>
        <w:tc>
          <w:tcPr>
            <w:tcW w:type="dxa" w:w="3312"/>
          </w:tcPr>
          <w:p>
            <w:r>
              <w:t>Наследие, архив, язык, произведения</w:t>
            </w:r>
          </w:p>
        </w:tc>
        <w:tc>
          <w:tcPr>
            <w:tcW w:type="dxa" w:w="3312"/>
          </w:tcPr>
          <w:p>
            <w:r>
              <w:t>Индекс сохранности наследия</w:t>
            </w:r>
          </w:p>
        </w:tc>
      </w:tr>
    </w:tbl>
    <w:p>
      <w:pPr>
        <w:pStyle w:val="Heading1"/>
      </w:pPr>
      <w:r>
        <w:t>9. Управление и защита</w:t>
      </w:r>
    </w:p>
    <w:p>
      <w:pPr>
        <w:pStyle w:val="ListBullet"/>
      </w:pPr>
      <w:r>
        <w:t>Принцип двух или нескольких подписей для крупных операций.</w:t>
      </w:r>
    </w:p>
    <w:p>
      <w:pPr>
        <w:pStyle w:val="ListBullet"/>
      </w:pPr>
      <w:r>
        <w:t>Разделение учредителя, управляющего и контролёра там, где это необходимо.</w:t>
      </w:r>
    </w:p>
    <w:p>
      <w:pPr>
        <w:pStyle w:val="ListBullet"/>
      </w:pPr>
      <w:r>
        <w:t>Запрет скрытых конфликтов интересов.</w:t>
      </w:r>
    </w:p>
    <w:p>
      <w:pPr>
        <w:pStyle w:val="ListBullet"/>
      </w:pPr>
      <w:r>
        <w:t>Публичный или ограниченный отчёт о целевом использовании — по режиму фонда.</w:t>
      </w:r>
    </w:p>
    <w:p>
      <w:pPr>
        <w:pStyle w:val="ListBullet"/>
      </w:pPr>
      <w:r>
        <w:t>Резервирование ключевых документов и прав.</w:t>
      </w:r>
    </w:p>
    <w:p>
      <w:pPr>
        <w:pStyle w:val="ListBullet"/>
      </w:pPr>
      <w:r>
        <w:t>Антифрод и предварительный контроль операций.</w:t>
      </w:r>
    </w:p>
    <w:p>
      <w:pPr>
        <w:pStyle w:val="ListBullet"/>
      </w:pPr>
      <w:r>
        <w:t>Наследственный протокол и заранее определённая преемственность.</w:t>
      </w:r>
    </w:p>
    <w:p>
      <w:pPr>
        <w:pStyle w:val="Heading1"/>
      </w:pPr>
      <w:r>
        <w:t>10. Фонды народов и Ассамблеи народов мира</w:t>
      </w:r>
    </w:p>
    <w:p>
      <w:r>
        <w:t>Отдельный класс — именные и народные фонды Ассамблеи. Они могут аккумулировать средства и права для сохранения языков, культурных кодов, исторических архивов, традиционных знаний, ремёсел и природных территорий. Для каждого народа формируется собственный паспорт наследия и перечень программ, но общая методология фонда едина.</w:t>
      </w:r>
    </w:p>
    <w:p>
      <w:pPr>
        <w:pStyle w:val="Heading1"/>
      </w:pPr>
      <w:r>
        <w:t>11. Кодирование в Метареестре</w:t>
      </w:r>
    </w:p>
    <w:p>
      <w:r>
        <w:t>Предлагаемый формат идентификатора фонда: FUND:EG-[TYPE]-[OWNER]-[YEAR]-[ID]. Каждая операция дополнительно получает TX-код и смысловой MSK-код.</w:t>
      </w:r>
    </w:p>
    <w:p>
      <w:r>
        <w:t>Пример: FUND:EG-NAMED-VERNADSKY-2026-001</w:t>
      </w:r>
    </w:p>
    <w:p>
      <w:r>
        <w:t>Пример операции: TX:EG-FUND001-EDU-S01-D05-20260829-00017</w:t>
      </w:r>
    </w:p>
    <w:p>
      <w:pPr>
        <w:pStyle w:val="Heading1"/>
      </w:pPr>
      <w:r>
        <w:t>12. Пилотная программа</w:t>
      </w:r>
    </w:p>
    <w:p>
      <w:pPr>
        <w:pStyle w:val="ListBullet"/>
      </w:pPr>
      <w:r>
        <w:t>Пилот 1 — Личный фонд развития человека.</w:t>
      </w:r>
    </w:p>
    <w:p>
      <w:pPr>
        <w:pStyle w:val="ListBullet"/>
      </w:pPr>
      <w:r>
        <w:t>Пилот 2 — Семейный фонд трёх поколений.</w:t>
      </w:r>
    </w:p>
    <w:p>
      <w:pPr>
        <w:pStyle w:val="ListBullet"/>
      </w:pPr>
      <w:r>
        <w:t>Пилот 3 — Именной научный фонд.</w:t>
      </w:r>
    </w:p>
    <w:p>
      <w:pPr>
        <w:pStyle w:val="ListBullet"/>
      </w:pPr>
      <w:r>
        <w:t>Пилот 4 — Фонд РИД/ОИС и непрерывного финансирования НИОКР.</w:t>
      </w:r>
    </w:p>
    <w:p>
      <w:pPr>
        <w:pStyle w:val="ListBullet"/>
      </w:pPr>
      <w:r>
        <w:t>Пилот 5 — Фонд наследия одного народа в рамках Ассамблеи.</w:t>
      </w:r>
    </w:p>
    <w:p>
      <w:pPr>
        <w:pStyle w:val="ListBullet"/>
      </w:pPr>
      <w:r>
        <w:t>Пилот 6 — Фонд восстановления конкретной экосистемы.</w:t>
      </w:r>
    </w:p>
    <w:p>
      <w:pPr>
        <w:pStyle w:val="Heading1"/>
      </w:pPr>
      <w:r>
        <w:t>13. Правовой режим</w:t>
      </w:r>
    </w:p>
    <w:p>
      <w:r>
        <w:t>Конкретная юридическая форма фонда должна определяться законодательством соответствующей юрисдикции. Концепция ЕГ не отменяет банковское, налоговое, наследственное, благотворительное, инвестиционное и антиотмывочное регулирование. Перед пилотом требуется отдельная правовая квалификация каждой модели.</w:t>
      </w:r>
    </w:p>
    <w:p>
      <w:pPr>
        <w:pStyle w:val="Heading1"/>
      </w:pPr>
      <w:r>
        <w:t>14. Итог</w:t>
      </w:r>
    </w:p>
    <w:p>
      <w:r>
        <w:t>Личные и именные фонды превращают личный, интеллектуальный, семейный и культурный результат в долгосрочный капитал. В архитектуре ЕГ это мост между человеком как источником создаваемой ценности, Живым Балансом, Метареестром, наследием предков и финансовой системой будущих поколений.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