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KRPIKicker"/>
        <w:spacing w:before="40"/>
      </w:pPr>
      <w:r>
        <w:rPr>
          <w:rFonts w:ascii="Calibri" w:hAnsi="Calibri" w:eastAsia="Calibri" w:cs="Calibri"/>
          <w:b/>
          <w:color w:val="A97817"/>
          <w:sz w:val="19"/>
          <w:lang w:val="ru-RU"/>
        </w:rPr>
        <w:t>БЕЛАЯ КНИГА СУДЬБЫ  •  ДОПОЛНИТЕЛЬНЫЙ ВЫПУСК</w:t>
      </w:r>
    </w:p>
    <w:p>
      <w:pPr>
        <w:pStyle w:val="Title"/>
        <w:spacing w:before="200"/>
      </w:pPr>
      <w:r>
        <w:rPr>
          <w:rFonts w:ascii="Calibri" w:hAnsi="Calibri" w:eastAsia="Calibri" w:cs="Calibri"/>
          <w:b/>
          <w:color w:val="0B2545"/>
          <w:sz w:val="60"/>
          <w:lang w:val="ru-RU"/>
        </w:rPr>
        <w:t>Квантовый рывок</w:t>
        <w:br/>
        <w:t>Плотности и Измерений</w:t>
      </w:r>
    </w:p>
    <w:p>
      <w:pPr>
        <w:pStyle w:val="Subtitle"/>
      </w:pPr>
      <w:r>
        <w:rPr>
          <w:rFonts w:ascii="Calibri" w:hAnsi="Calibri" w:eastAsia="Calibri" w:cs="Calibri"/>
          <w:color w:val="1F4D78"/>
          <w:sz w:val="29"/>
          <w:lang w:val="ru-RU"/>
        </w:rPr>
        <w:t>От образа к прослеживаемой системе измерений, доказательств и решений</w:t>
      </w:r>
    </w:p>
    <w:p>
      <w:pPr>
        <w:spacing w:after="200"/>
      </w:pPr>
      <w:r>
        <w:rPr>
          <w:rFonts w:ascii="Calibri" w:hAnsi="Calibri" w:eastAsia="Calibri" w:cs="Calibri"/>
          <w:i/>
          <w:color w:val="5A6B7A"/>
          <w:sz w:val="19"/>
          <w:lang w:val="ru-RU"/>
        </w:rPr>
        <w:t>Научно-метрологическая концепция • проектная редакция 1.0 • 30 августа 2026</w:t>
      </w:r>
    </w:p>
    <w:p>
      <w:pPr>
        <w:spacing w:after="200"/>
        <w:jc w:val="center"/>
      </w:pPr>
      <w:r>
        <w:drawing>
          <wp:inline xmlns:a="http://schemas.openxmlformats.org/drawingml/2006/main" xmlns:pic="http://schemas.openxmlformats.org/drawingml/2006/picture">
            <wp:extent cx="5943600" cy="3345052"/>
            <wp:docPr id="1" name="Picture 1" title="Квантовый рывок плотности и измерений" descr="Светлая научная иллюстрация: кристаллическая решётка, волновые слои и потоки данных как образ перехода от вещества и сигнала к проверяемому измерению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quantum_density_hero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50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100"/>
        <w:jc w:val="left"/>
      </w:pPr>
      <w:r>
        <w:rPr>
          <w:rFonts w:ascii="Calibri" w:hAnsi="Calibri" w:eastAsia="Calibri" w:cs="Calibri"/>
          <w:b/>
          <w:color w:val="A97817"/>
          <w:sz w:val="17"/>
          <w:lang w:val="ru-RU"/>
        </w:rPr>
        <w:t xml:space="preserve">RELEASE ID  </w:t>
      </w:r>
      <w:r>
        <w:rPr>
          <w:rFonts w:ascii="Calibri" w:hAnsi="Calibri" w:eastAsia="Calibri" w:cs="Calibri"/>
          <w:b/>
          <w:color w:val="0B2545"/>
          <w:sz w:val="18"/>
          <w:lang w:val="ru-RU"/>
        </w:rPr>
        <w:t>BKS-CAND-KRPI-0001-M01</w:t>
      </w:r>
      <w:r>
        <w:br/>
      </w:r>
      <w:r>
        <w:rPr>
          <w:rFonts w:ascii="Calibri" w:hAnsi="Calibri" w:eastAsia="Calibri" w:cs="Calibri"/>
          <w:b/>
          <w:color w:val="A97817"/>
          <w:sz w:val="17"/>
          <w:lang w:val="ru-RU"/>
        </w:rPr>
        <w:t xml:space="preserve">SUPPLEMENT  </w:t>
      </w:r>
      <w:r>
        <w:rPr>
          <w:rFonts w:ascii="Calibri" w:hAnsi="Calibri" w:eastAsia="Calibri" w:cs="Calibri"/>
          <w:color w:val="0B2545"/>
          <w:sz w:val="18"/>
          <w:lang w:val="ru-RU"/>
        </w:rPr>
        <w:t>BKS-REVIVAL-SUP-KRPI-2026-01</w:t>
      </w:r>
    </w:p>
    <w:p>
      <w:pPr>
        <w:pStyle w:val="Heading1"/>
        <w:pageBreakBefore/>
      </w:pPr>
      <w:r>
        <w:rPr>
          <w:rFonts w:ascii="Calibri" w:hAnsi="Calibri" w:eastAsia="Calibri" w:cs="Calibri"/>
          <w:b/>
          <w:color w:val="A97817"/>
          <w:sz w:val="18"/>
          <w:lang w:val="ru-RU"/>
        </w:rPr>
        <w:t xml:space="preserve">СТАТУС  /  </w:t>
      </w:r>
      <w:r>
        <w:rPr>
          <w:rFonts w:ascii="Calibri" w:hAnsi="Calibri" w:eastAsia="Calibri" w:cs="Calibri"/>
          <w:b/>
          <w:color w:val="2E74B5"/>
          <w:sz w:val="32"/>
          <w:lang w:val="ru-RU"/>
        </w:rPr>
        <w:t>Паспорт выпуска и правила чтения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FD8E3"/>
          <w:left w:val="single" w:sz="6" w:space="0" w:color="CFD8E3"/>
          <w:bottom w:val="single" w:sz="6" w:space="0" w:color="CFD8E3"/>
          <w:right w:val="single" w:sz="6" w:space="0" w:color="CFD8E3"/>
          <w:insideH w:val="single" w:sz="6" w:space="0" w:color="CFD8E3"/>
          <w:insideV w:val="single" w:sz="6" w:space="0" w:color="CFD8E3"/>
        </w:tblBorders>
      </w:tblPr>
      <w:tblGrid>
        <w:gridCol w:w="2200"/>
        <w:gridCol w:w="7160"/>
      </w:tblGrid>
      <w:tr>
        <w:trPr>
          <w:tblHeader w:val="true"/>
          <w:cantSplit/>
        </w:trPr>
        <w:tc>
          <w:tcPr>
            <w:tcW w:type="dxa" w:w="22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8"/>
                <w:lang w:val="ru-RU"/>
              </w:rPr>
              <w:t>Поле</w:t>
            </w:r>
          </w:p>
        </w:tc>
        <w:tc>
          <w:tcPr>
            <w:tcW w:type="dxa" w:w="71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8"/>
                <w:lang w:val="ru-RU"/>
              </w:rPr>
              <w:t>Значение</w:t>
            </w:r>
          </w:p>
        </w:tc>
      </w:tr>
      <w:tr>
        <w:trPr>
          <w:cantSplit/>
        </w:trP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8"/>
                <w:lang w:val="ru-RU"/>
              </w:rPr>
              <w:t>Мастер-идентификатор</w:t>
            </w:r>
          </w:p>
        </w:tc>
        <w:tc>
          <w:tcPr>
            <w:tcW w:type="dxa" w:w="7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8"/>
                <w:lang w:val="ru-RU"/>
              </w:rPr>
              <w:t>BKS-CAND-KRPI-0001-M01</w:t>
            </w:r>
          </w:p>
        </w:tc>
      </w:tr>
      <w:tr>
        <w:trPr>
          <w:cantSplit/>
        </w:trPr>
        <w:tc>
          <w:tcPr>
            <w:tcW w:type="dxa" w:w="22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8"/>
                <w:lang w:val="ru-RU"/>
              </w:rPr>
              <w:t>Пакет дополнения</w:t>
            </w:r>
          </w:p>
        </w:tc>
        <w:tc>
          <w:tcPr>
            <w:tcW w:type="dxa" w:w="716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8"/>
                <w:lang w:val="ru-RU"/>
              </w:rPr>
              <w:t>BKS-REVIVAL-SUP-KRPI-2026-01</w:t>
            </w:r>
          </w:p>
        </w:tc>
      </w:tr>
      <w:tr>
        <w:trPr>
          <w:cantSplit/>
        </w:trP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8"/>
                <w:lang w:val="ru-RU"/>
              </w:rPr>
              <w:t>Статус</w:t>
            </w:r>
          </w:p>
        </w:tc>
        <w:tc>
          <w:tcPr>
            <w:tcW w:type="dxa" w:w="7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8"/>
                <w:lang w:val="ru-RU"/>
              </w:rPr>
              <w:t>Candidate — проект для научной, метрологической и этической экспертизы</w:t>
            </w:r>
          </w:p>
        </w:tc>
      </w:tr>
      <w:tr>
        <w:trPr>
          <w:cantSplit/>
        </w:trPr>
        <w:tc>
          <w:tcPr>
            <w:tcW w:type="dxa" w:w="22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8"/>
                <w:lang w:val="ru-RU"/>
              </w:rPr>
              <w:t>Базовый реестр</w:t>
            </w:r>
          </w:p>
        </w:tc>
        <w:tc>
          <w:tcPr>
            <w:tcW w:type="dxa" w:w="716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8"/>
                <w:lang w:val="ru-RU"/>
              </w:rPr>
              <w:t>BKS-0001…BKS-0344; base_count = 344; состав и нумерация неизменны</w:t>
            </w:r>
          </w:p>
        </w:tc>
      </w:tr>
      <w:tr>
        <w:trPr>
          <w:cantSplit/>
        </w:trP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8"/>
                <w:lang w:val="ru-RU"/>
              </w:rPr>
              <w:t>Предмет</w:t>
            </w:r>
          </w:p>
        </w:tc>
        <w:tc>
          <w:tcPr>
            <w:tcW w:type="dxa" w:w="7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8"/>
                <w:lang w:val="ru-RU"/>
              </w:rPr>
              <w:t>Плотность, размерность, измерение, неопределённость, квантовые ресурсы и контур доказательств</w:t>
            </w:r>
          </w:p>
        </w:tc>
      </w:tr>
      <w:tr>
        <w:trPr>
          <w:cantSplit/>
        </w:trPr>
        <w:tc>
          <w:tcPr>
            <w:tcW w:type="dxa" w:w="22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8"/>
                <w:lang w:val="ru-RU"/>
              </w:rPr>
              <w:t>Проектные модули</w:t>
            </w:r>
          </w:p>
        </w:tc>
        <w:tc>
          <w:tcPr>
            <w:tcW w:type="dxa" w:w="716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8"/>
                <w:lang w:val="ru-RU"/>
              </w:rPr>
              <w:t>Смысловые рамки и права; Ключи/Врата; Карта валидации; BIOC; динамическая биосфера; прогноз; адаптивное планирование</w:t>
            </w:r>
          </w:p>
        </w:tc>
      </w:tr>
      <w:tr>
        <w:trPr>
          <w:cantSplit/>
        </w:trP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8"/>
                <w:lang w:val="ru-RU"/>
              </w:rPr>
              <w:t>Граница</w:t>
            </w:r>
          </w:p>
        </w:tc>
        <w:tc>
          <w:tcPr>
            <w:tcW w:type="dxa" w:w="7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8"/>
                <w:lang w:val="ru-RU"/>
              </w:rPr>
              <w:t>Не заявляет открытие новых физических измерений, чудесных свойств материи или гарантированного технологического превосходства</w:t>
            </w:r>
          </w:p>
        </w:tc>
      </w:tr>
    </w:tbl>
    <w:p>
      <w:pPr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16979A"/>
          <w:left w:val="single" w:sz="8" w:space="0" w:color="16979A"/>
          <w:bottom w:val="single" w:sz="8" w:space="0" w:color="16979A"/>
          <w:right w:val="single" w:sz="8" w:space="0" w:color="16979A"/>
          <w:insideH w:val="single" w:sz="8" w:space="0" w:color="16979A"/>
          <w:insideV w:val="single" w:sz="8" w:space="0" w:color="16979A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16979A"/>
                <w:sz w:val="18"/>
                <w:lang w:val="ru-RU"/>
              </w:rPr>
              <w:t xml:space="preserve">КОНТРАКТ ЧТЕНИЯ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Каждое утверждение в документе относится к одному из четырёх слоёв: установленная наука; инженерная проектная модель; проверяемая гипотеза; символический образ. Переход между слоями должен быть обозначен и подтверждён.</w:t>
            </w:r>
          </w:p>
        </w:tc>
      </w:tr>
    </w:tbl>
    <w:p>
      <w:pPr>
        <w:spacing w:after="40"/>
      </w:pPr>
    </w:p>
    <w:p>
      <w:pPr>
        <w:keepNext w:val="0"/>
      </w:pPr>
      <w:r>
        <w:rPr>
          <w:rFonts w:ascii="Calibri" w:hAnsi="Calibri" w:eastAsia="Calibri" w:cs="Calibri"/>
          <w:color w:val="172B3A"/>
          <w:lang w:val="ru-RU"/>
        </w:rPr>
        <w:t>Документ дополняет корпус «Белой Книги Судьбы» как отдельный выпуск. Он не получает очередной номер BKS-0345 и не изменяет контрольную сумму базового реестра до отдельного решения редакционного совета, проверки манифеста и фиксации новой версии.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Научные определения и единицы опираются на BIPM/JCGM, NIST и действующую систему SI.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Проектные показатели допустимы только при явном числителе, знаменателе, единице, методе и границе применимости.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Символические категории 16 КОНов служат рамкой ответственности; они не подменяют физические законы.</w:t>
      </w:r>
    </w:p>
    <w:p>
      <w:pPr>
        <w:pStyle w:val="Heading1"/>
        <w:pageBreakBefore/>
      </w:pPr>
      <w:r>
        <w:rPr>
          <w:rFonts w:ascii="Calibri" w:hAnsi="Calibri" w:eastAsia="Calibri" w:cs="Calibri"/>
          <w:b/>
          <w:color w:val="A97817"/>
          <w:sz w:val="18"/>
          <w:lang w:val="ru-RU"/>
        </w:rPr>
        <w:t xml:space="preserve">ТЕЗИС  /  </w:t>
      </w:r>
      <w:r>
        <w:rPr>
          <w:rFonts w:ascii="Calibri" w:hAnsi="Calibri" w:eastAsia="Calibri" w:cs="Calibri"/>
          <w:b/>
          <w:color w:val="2E74B5"/>
          <w:sz w:val="32"/>
          <w:lang w:val="ru-RU"/>
        </w:rPr>
        <w:t>Резюме: что считается квантовым рывком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A97817"/>
          <w:left w:val="single" w:sz="8" w:space="0" w:color="A97817"/>
          <w:bottom w:val="single" w:sz="8" w:space="0" w:color="A97817"/>
          <w:right w:val="single" w:sz="8" w:space="0" w:color="A97817"/>
          <w:insideH w:val="single" w:sz="8" w:space="0" w:color="A97817"/>
          <w:insideV w:val="single" w:sz="8" w:space="0" w:color="A97817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FFF7E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A97817"/>
                <w:sz w:val="18"/>
                <w:lang w:val="ru-RU"/>
              </w:rPr>
              <w:t xml:space="preserve">РАБОЧЕЕ ОПРЕДЕЛЕНИЕ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Квантовый рывок — дискретно подтверждённое улучшение способности измерять конкретную величину: меньшая неопределённость, более низкий предел обнаружения, выше временное или пространственное разрешение либо новое рабочее окно — при сохранённой прослеживаемости и независимой проверке.</w:t>
            </w:r>
          </w:p>
        </w:tc>
      </w:tr>
    </w:tbl>
    <w:p>
      <w:pPr>
        <w:spacing w:after="40"/>
      </w:pPr>
    </w:p>
    <w:p>
      <w:pPr>
        <w:keepNext w:val="0"/>
      </w:pPr>
      <w:r>
        <w:rPr>
          <w:rFonts w:ascii="Calibri" w:hAnsi="Calibri" w:eastAsia="Calibri" w:cs="Calibri"/>
          <w:color w:val="172B3A"/>
          <w:lang w:val="ru-RU"/>
        </w:rPr>
        <w:t>Слово «квантовый» здесь имеет узкий физический смысл: в сенсоре используется квантовое состояние, когерентность, интерференция, запутанность, счёт дискретных квантов или квантово-оптический эталон. Оно не означает «скачок сознания», переход в параллельный мир или произвольное увеличение числа пространственных измерений.</w:t>
      </w:r>
    </w:p>
    <w:p>
      <w:pPr>
        <w:keepNext w:val="0"/>
      </w:pPr>
      <w:r>
        <w:rPr>
          <w:rFonts w:ascii="Calibri" w:hAnsi="Calibri" w:eastAsia="Calibri" w:cs="Calibri"/>
          <w:color w:val="172B3A"/>
          <w:lang w:val="ru-RU"/>
        </w:rPr>
        <w:t>Программа начинается не с выбора эффектной технологии, а с паспорта измеряемой величины: что именно измеряется, в каких единицах, при каких условиях, каким методом и с какой неопределённостью. После этого квантовый и классический тракты сравниваются на одном измеряемом объекте и по одному бюджету неопределённости.</w:t>
      </w:r>
    </w:p>
    <w:p>
      <w:pPr>
        <w:pStyle w:val="Heading2"/>
      </w:pPr>
      <w:r>
        <w:t>Пять условий верифицированного рывка</w:t>
      </w:r>
    </w:p>
    <w:p>
      <w:pPr>
        <w:pStyle w:val="KRPIList"/>
        <w:numPr>
          <w:ilvl w:val="0"/>
          <w:numId w:val="11"/>
        </w:numPr>
      </w:pPr>
      <w:r>
        <w:rPr>
          <w:rFonts w:ascii="Calibri" w:hAnsi="Calibri" w:eastAsia="Calibri" w:cs="Calibri"/>
          <w:color w:val="172B3A"/>
          <w:lang w:val="ru-RU"/>
        </w:rPr>
        <w:t>Измеряемая величина и граница объекта зафиксированы до эксперимента.</w:t>
      </w:r>
    </w:p>
    <w:p>
      <w:pPr>
        <w:pStyle w:val="KRPIList"/>
        <w:numPr>
          <w:ilvl w:val="0"/>
          <w:numId w:val="11"/>
        </w:numPr>
      </w:pPr>
      <w:r>
        <w:rPr>
          <w:rFonts w:ascii="Calibri" w:hAnsi="Calibri" w:eastAsia="Calibri" w:cs="Calibri"/>
          <w:color w:val="172B3A"/>
          <w:lang w:val="ru-RU"/>
        </w:rPr>
        <w:t>Улучшение относительно классической базы статистически и метрологически значимо.</w:t>
      </w:r>
    </w:p>
    <w:p>
      <w:pPr>
        <w:pStyle w:val="KRPIList"/>
        <w:numPr>
          <w:ilvl w:val="0"/>
          <w:numId w:val="11"/>
        </w:numPr>
      </w:pPr>
      <w:r>
        <w:rPr>
          <w:rFonts w:ascii="Calibri" w:hAnsi="Calibri" w:eastAsia="Calibri" w:cs="Calibri"/>
          <w:color w:val="172B3A"/>
          <w:lang w:val="ru-RU"/>
        </w:rPr>
        <w:t>Цепочка к признанному эталону документирована; неопределённость не скрыта внутри алгоритма.</w:t>
      </w:r>
    </w:p>
    <w:p>
      <w:pPr>
        <w:pStyle w:val="KRPIList"/>
        <w:numPr>
          <w:ilvl w:val="0"/>
          <w:numId w:val="11"/>
        </w:numPr>
      </w:pPr>
      <w:r>
        <w:rPr>
          <w:rFonts w:ascii="Calibri" w:hAnsi="Calibri" w:eastAsia="Calibri" w:cs="Calibri"/>
          <w:color w:val="172B3A"/>
          <w:lang w:val="ru-RU"/>
        </w:rPr>
        <w:t>Результат воспроизведён независимой группой или подтверждён межлабораторным сравнением.</w:t>
      </w:r>
    </w:p>
    <w:p>
      <w:pPr>
        <w:pStyle w:val="KRPIList"/>
        <w:numPr>
          <w:ilvl w:val="0"/>
          <w:numId w:val="11"/>
        </w:numPr>
      </w:pPr>
      <w:r>
        <w:rPr>
          <w:rFonts w:ascii="Calibri" w:hAnsi="Calibri" w:eastAsia="Calibri" w:cs="Calibri"/>
          <w:color w:val="172B3A"/>
          <w:lang w:val="ru-RU"/>
        </w:rPr>
        <w:t>Практическая ценность превышает стоимость, риск и внешние эффекты жизненного цикла.</w:t>
      </w:r>
    </w:p>
    <w:p>
      <w:pPr>
        <w:pStyle w:val="Heading1"/>
        <w:pageBreakBefore/>
      </w:pPr>
      <w:r>
        <w:rPr>
          <w:rFonts w:ascii="Calibri" w:hAnsi="Calibri" w:eastAsia="Calibri" w:cs="Calibri"/>
          <w:b/>
          <w:color w:val="A97817"/>
          <w:sz w:val="18"/>
          <w:lang w:val="ru-RU"/>
        </w:rPr>
        <w:t xml:space="preserve">СЛОВАРЬ  /  </w:t>
      </w:r>
      <w:r>
        <w:rPr>
          <w:rFonts w:ascii="Calibri" w:hAnsi="Calibri" w:eastAsia="Calibri" w:cs="Calibri"/>
          <w:b/>
          <w:color w:val="2E74B5"/>
          <w:sz w:val="32"/>
          <w:lang w:val="ru-RU"/>
        </w:rPr>
        <w:t>Термины без смешения смыслов</w:t>
      </w:r>
    </w:p>
    <w:p>
      <w:pPr>
        <w:pStyle w:val="KRPICaption"/>
        <w:keepNext/>
      </w:pPr>
      <w:r>
        <w:t>Таблица 1 — Шесть ключевых терминов и их допустимые трактовки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FD8E3"/>
          <w:left w:val="single" w:sz="6" w:space="0" w:color="CFD8E3"/>
          <w:bottom w:val="single" w:sz="6" w:space="0" w:color="CFD8E3"/>
          <w:right w:val="single" w:sz="6" w:space="0" w:color="CFD8E3"/>
          <w:insideH w:val="single" w:sz="6" w:space="0" w:color="CFD8E3"/>
          <w:insideV w:val="single" w:sz="6" w:space="0" w:color="CFD8E3"/>
        </w:tblBorders>
      </w:tblPr>
      <w:tblGrid>
        <w:gridCol w:w="1900"/>
        <w:gridCol w:w="4300"/>
        <w:gridCol w:w="3160"/>
      </w:tblGrid>
      <w:tr>
        <w:trPr>
          <w:tblHeader w:val="true"/>
          <w:cantSplit/>
        </w:trPr>
        <w:tc>
          <w:tcPr>
            <w:tcW w:type="dxa" w:w="1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7"/>
                <w:lang w:val="ru-RU"/>
              </w:rPr>
              <w:t>Термин</w:t>
            </w:r>
          </w:p>
        </w:tc>
        <w:tc>
          <w:tcPr>
            <w:tcW w:type="dxa" w:w="43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7"/>
                <w:lang w:val="ru-RU"/>
              </w:rPr>
              <w:t>Строгое значение</w:t>
            </w:r>
          </w:p>
        </w:tc>
        <w:tc>
          <w:tcPr>
            <w:tcW w:type="dxa" w:w="31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7"/>
                <w:lang w:val="ru-RU"/>
              </w:rPr>
              <w:t>Недопустимая подмена</w:t>
            </w:r>
          </w:p>
        </w:tc>
      </w:tr>
      <w:tr>
        <w:trPr>
          <w:cantSplit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7"/>
                <w:lang w:val="ru-RU"/>
              </w:rPr>
              <w:t>Величина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Свойство, которому приписывается значение и единица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Любое число без объекта и метода</w:t>
            </w:r>
          </w:p>
        </w:tc>
      </w:tr>
      <w:tr>
        <w:trPr>
          <w:cantSplit/>
        </w:trPr>
        <w:tc>
          <w:tcPr>
            <w:tcW w:type="dxa" w:w="19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7"/>
                <w:lang w:val="ru-RU"/>
              </w:rPr>
              <w:t>Размерность величины</w:t>
            </w:r>
          </w:p>
        </w:tc>
        <w:tc>
          <w:tcPr>
            <w:tcW w:type="dxa" w:w="43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Зависимость от базовых величин как произведение степеней; например [ρ] = M·L⁻³</w:t>
            </w:r>
          </w:p>
        </w:tc>
        <w:tc>
          <w:tcPr>
            <w:tcW w:type="dxa" w:w="316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Число координат модели или «уровень бытия»</w:t>
            </w:r>
          </w:p>
        </w:tc>
      </w:tr>
      <w:tr>
        <w:trPr>
          <w:cantSplit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7"/>
                <w:lang w:val="ru-RU"/>
              </w:rPr>
              <w:t>Измерение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Экспериментальный процесс получения значений, обоснованно приписываемых величине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Наблюдение без калибровки и условий</w:t>
            </w:r>
          </w:p>
        </w:tc>
      </w:tr>
      <w:tr>
        <w:trPr>
          <w:cantSplit/>
        </w:trPr>
        <w:tc>
          <w:tcPr>
            <w:tcW w:type="dxa" w:w="19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7"/>
                <w:lang w:val="ru-RU"/>
              </w:rPr>
              <w:t>Неопределённость</w:t>
            </w:r>
          </w:p>
        </w:tc>
        <w:tc>
          <w:tcPr>
            <w:tcW w:type="dxa" w:w="43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Неотрицательный параметр, описывающий разброс значений на основе использованной информации</w:t>
            </w:r>
          </w:p>
        </w:tc>
        <w:tc>
          <w:tcPr>
            <w:tcW w:type="dxa" w:w="316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Ошибка прибора как одно неизвестное число</w:t>
            </w:r>
          </w:p>
        </w:tc>
      </w:tr>
      <w:tr>
        <w:trPr>
          <w:cantSplit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7"/>
                <w:lang w:val="ru-RU"/>
              </w:rPr>
              <w:t>Прослеживаемость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Документированная непрерывная цепь калибровок к опоре, каждая со вкладом в неопределённость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Ссылка на бренд или сертификат без цепочки</w:t>
            </w:r>
          </w:p>
        </w:tc>
      </w:tr>
      <w:tr>
        <w:trPr>
          <w:cantSplit/>
        </w:trPr>
        <w:tc>
          <w:tcPr>
            <w:tcW w:type="dxa" w:w="19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7"/>
                <w:lang w:val="ru-RU"/>
              </w:rPr>
              <w:t>Координата модели</w:t>
            </w:r>
          </w:p>
        </w:tc>
        <w:tc>
          <w:tcPr>
            <w:tcW w:type="dxa" w:w="43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Независимый признак, состояние или параметр инженерной модели</w:t>
            </w:r>
          </w:p>
        </w:tc>
        <w:tc>
          <w:tcPr>
            <w:tcW w:type="dxa" w:w="316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Дополнительное физическое пространство</w:t>
            </w:r>
          </w:p>
        </w:tc>
      </w:tr>
    </w:tbl>
    <w:p>
      <w:pPr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16979A"/>
          <w:left w:val="single" w:sz="8" w:space="0" w:color="16979A"/>
          <w:bottom w:val="single" w:sz="8" w:space="0" w:color="16979A"/>
          <w:right w:val="single" w:sz="8" w:space="0" w:color="16979A"/>
          <w:insideH w:val="single" w:sz="8" w:space="0" w:color="16979A"/>
          <w:insideV w:val="single" w:sz="8" w:space="0" w:color="16979A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16979A"/>
                <w:sz w:val="18"/>
                <w:lang w:val="ru-RU"/>
              </w:rPr>
              <w:t xml:space="preserve">ПРАВИЛО ЗНАМЕНАТЕЛЯ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«Плотность» имеет смысл только после ответа на вопрос: сколько чего — на единицу чего? Без числителя, знаменателя, единицы и области усреднения это метафора, а не измеряемая величина.</w:t>
            </w:r>
          </w:p>
        </w:tc>
      </w:tr>
    </w:tbl>
    <w:p>
      <w:pPr>
        <w:spacing w:after="40"/>
      </w:pPr>
    </w:p>
    <w:p>
      <w:pPr>
        <w:keepNext w:val="0"/>
      </w:pPr>
      <w:r>
        <w:rPr>
          <w:rFonts w:ascii="Calibri" w:hAnsi="Calibri" w:eastAsia="Calibri" w:cs="Calibri"/>
          <w:color w:val="172B3A"/>
          <w:lang w:val="ru-RU"/>
        </w:rPr>
        <w:t>В этом выпуске слова «слой», «сфера», «контур» и «измерение модели» используются как архитектурные термины. Если речь идёт о физической размерности, это явно отмечается обозначением [Q] и единицей SI.</w:t>
      </w:r>
    </w:p>
    <w:p>
      <w:pPr>
        <w:pStyle w:val="Heading2"/>
      </w:pPr>
      <w:r>
        <w:t>Две духовно-философские традиции — отдельно от метрологии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A97817"/>
          <w:left w:val="single" w:sz="8" w:space="0" w:color="A97817"/>
          <w:bottom w:val="single" w:sz="8" w:space="0" w:color="A97817"/>
          <w:right w:val="single" w:sz="8" w:space="0" w:color="A97817"/>
          <w:insideH w:val="single" w:sz="8" w:space="0" w:color="A97817"/>
          <w:insideV w:val="single" w:sz="8" w:space="0" w:color="A97817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FFF7E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A97817"/>
                <w:sz w:val="18"/>
                <w:lang w:val="ru-RU"/>
              </w:rPr>
              <w:t xml:space="preserve">[МЕТАФОРА / ДУХОВНАЯ ТРАДИЦИЯ · E0] LAW OF ONE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Внутри корпуса Law of One слово density означает ступени или режимы духовной эволюции сознания: от осознавания и роста через самосознание, любовь/понимание и мудрость к единству. «Смена плотности» здесь — элемент собственной космологии источника, а не изменение kg/m³, энергетической плотности или параметров квантового сенсора.</w:t>
            </w:r>
          </w:p>
        </w:tc>
      </w:tr>
    </w:tbl>
    <w:p>
      <w:pPr>
        <w:spacing w:after="4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2E74B5"/>
          <w:left w:val="single" w:sz="8" w:space="0" w:color="2E74B5"/>
          <w:bottom w:val="single" w:sz="8" w:space="0" w:color="2E74B5"/>
          <w:right w:val="single" w:sz="8" w:space="0" w:color="2E74B5"/>
          <w:insideH w:val="single" w:sz="8" w:space="0" w:color="2E74B5"/>
          <w:insideV w:val="single" w:sz="8" w:space="0" w:color="2E74B5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2E74B5"/>
                <w:sz w:val="18"/>
                <w:lang w:val="ru-RU"/>
              </w:rPr>
              <w:t xml:space="preserve">[АВТОРСКАЯ КОСМОЛОГИЯ · E0/E1] LAW OF TIME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В материалах José Argüelles / Foundation for the Law of Time переход 12:60 → 13:20 и «четвёртое измерение / синхронный порядок» описывают смену режима времени и сознания. Это духовно-философская модель; она не заменяет секунду SI, часы, частотный эталон или неопределённость. Метрология = measurand + единица + метод + результат; E0/E1 не являются доказательством.</w:t>
            </w:r>
          </w:p>
        </w:tc>
      </w:tr>
    </w:tbl>
    <w:p>
      <w:pPr>
        <w:spacing w:after="40"/>
      </w:pPr>
    </w:p>
    <w:p>
      <w:pPr>
        <w:pStyle w:val="Heading1"/>
        <w:pageBreakBefore/>
      </w:pPr>
      <w:r>
        <w:rPr>
          <w:rFonts w:ascii="Calibri" w:hAnsi="Calibri" w:eastAsia="Calibri" w:cs="Calibri"/>
          <w:b/>
          <w:color w:val="A97817"/>
          <w:sz w:val="18"/>
          <w:lang w:val="ru-RU"/>
        </w:rPr>
        <w:t xml:space="preserve">E0 / E1 · ГРАНИЦА СМЫСЛОВ  /  </w:t>
      </w:r>
      <w:r>
        <w:rPr>
          <w:rFonts w:ascii="Calibri" w:hAnsi="Calibri" w:eastAsia="Calibri" w:cs="Calibri"/>
          <w:b/>
          <w:color w:val="2E74B5"/>
          <w:sz w:val="32"/>
          <w:lang w:val="ru-RU"/>
        </w:rPr>
        <w:t>Косморитмология и Археометр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A97817"/>
          <w:left w:val="single" w:sz="8" w:space="0" w:color="A97817"/>
          <w:bottom w:val="single" w:sz="8" w:space="0" w:color="A97817"/>
          <w:right w:val="single" w:sz="8" w:space="0" w:color="A97817"/>
          <w:insideH w:val="single" w:sz="8" w:space="0" w:color="A97817"/>
          <w:insideV w:val="single" w:sz="8" w:space="0" w:color="A97817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FFF7E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A97817"/>
                <w:sz w:val="18"/>
                <w:lang w:val="ru-RU"/>
              </w:rPr>
              <w:t xml:space="preserve">КОСМОРИТМОЛОГИЯ — АВТОРСКИЙ ТЕРМИН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В выпуске это проектное название для исследования ритмов и сопоставления временных рядов. Устойчивый общепринятый научный стандарт с таким названием не предполагается. На уровне E0 это образ согласованности; на E1 — только явно заданная и опровержимая модель.</w:t>
            </w:r>
          </w:p>
        </w:tc>
      </w:tr>
    </w:tbl>
    <w:p>
      <w:pPr>
        <w:spacing w:after="4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2E74B5"/>
          <w:left w:val="single" w:sz="8" w:space="0" w:color="2E74B5"/>
          <w:bottom w:val="single" w:sz="8" w:space="0" w:color="2E74B5"/>
          <w:right w:val="single" w:sz="8" w:space="0" w:color="2E74B5"/>
          <w:insideH w:val="single" w:sz="8" w:space="0" w:color="2E74B5"/>
          <w:insideV w:val="single" w:sz="8" w:space="0" w:color="2E74B5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2E74B5"/>
                <w:sz w:val="18"/>
                <w:lang w:val="ru-RU"/>
              </w:rPr>
              <w:t xml:space="preserve">КОГДА РИТМ СТАНОВИТСЯ ВЕЛИЧИНОЙ  </w:t>
            </w:r>
            <w:r>
              <w:rPr>
                <w:rFonts w:ascii="Cambria Math" w:hAnsi="Cambria Math" w:eastAsia="Cambria Math" w:cs="Cambria Math"/>
                <w:b/>
                <w:color w:val="0B2545"/>
                <w:sz w:val="24"/>
                <w:lang w:val="ru-RU"/>
              </w:rPr>
              <w:t>t, частота отбора fₛ, период T или частота f, фаза φ, амплитуда A, единица, окно наблюдения и U</w:t>
            </w:r>
          </w:p>
        </w:tc>
      </w:tr>
    </w:tbl>
    <w:p>
      <w:pPr>
        <w:spacing w:after="40"/>
      </w:pPr>
    </w:p>
    <w:p>
      <w:pPr>
        <w:keepNext w:val="0"/>
      </w:pPr>
      <w:r>
        <w:rPr>
          <w:rFonts w:ascii="Calibri" w:hAnsi="Calibri" w:eastAsia="Calibri" w:cs="Calibri"/>
          <w:color w:val="172B3A"/>
          <w:lang w:val="ru-RU"/>
        </w:rPr>
        <w:t>Слово «ритм» без часов, временной шкалы, метода выделения периода и оценки неопределённости остаётся метафорой. Сезонность, тренд, пропуски и множественный поиск периодов фиксируются заранее; найденное совпадение проверяется на отложенном интервале и против альтернативных моделей.</w:t>
      </w:r>
    </w:p>
    <w:p>
      <w:pPr>
        <w:pStyle w:val="Heading2"/>
      </w:pPr>
      <w:r>
        <w:t>Археометр: историко-культурный слой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2E74B5"/>
          <w:left w:val="single" w:sz="8" w:space="0" w:color="2E74B5"/>
          <w:bottom w:val="single" w:sz="8" w:space="0" w:color="2E74B5"/>
          <w:right w:val="single" w:sz="8" w:space="0" w:color="2E74B5"/>
          <w:insideH w:val="single" w:sz="8" w:space="0" w:color="2E74B5"/>
          <w:insideV w:val="single" w:sz="8" w:space="0" w:color="2E74B5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2E74B5"/>
                <w:sz w:val="18"/>
                <w:lang w:val="ru-RU"/>
              </w:rPr>
              <w:t xml:space="preserve">[МЕТАФОРА / ИСТОРИЧЕСКИЙ ИСТОЧНИК · E0]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«L’Archéomètre» — посмертно опубликованная работа Saint‑Yves d’Alveydre: каталог BnF указывает [s.d.], а предисловие датировано 1911 годом. Это многослойная система соответствий букв, чисел, цветов, музыки и зодиакальных образов; историко-культурный классификатор — не метрологический прибор, не археометрия и не доказательство физических связей.</w:t>
            </w:r>
          </w:p>
        </w:tc>
      </w:tr>
    </w:tbl>
    <w:p>
      <w:pPr>
        <w:spacing w:after="40"/>
      </w:pPr>
    </w:p>
    <w:p>
      <w:pPr>
        <w:pStyle w:val="Heading2"/>
      </w:pPr>
      <w:r>
        <w:t>Безопасно извлекаемые принципы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Разделять слои: символ, текст, число, цвет, звук и наблюдаемая величина не тождественны.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Типизировать отношение: citation, analogy, hypothesis, exact запрещено назначать по сходству формы.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Хранить provenance, язык, страницу, редакцию, перевод и версию каждой связи.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Не делать физический или причинный вывод без отдельного измеримого теста и карты валидации.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16979A"/>
          <w:left w:val="single" w:sz="8" w:space="0" w:color="16979A"/>
          <w:bottom w:val="single" w:sz="8" w:space="0" w:color="16979A"/>
          <w:right w:val="single" w:sz="8" w:space="0" w:color="16979A"/>
          <w:insideH w:val="single" w:sz="8" w:space="0" w:color="16979A"/>
          <w:insideV w:val="single" w:sz="8" w:space="0" w:color="16979A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16979A"/>
                <w:sz w:val="18"/>
                <w:lang w:val="ru-RU"/>
              </w:rPr>
              <w:t xml:space="preserve">РЕДАКЦИОННОЕ РЕШЕНИЕ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Археометрические соответствия могут индексировать культурный архив E0. Перевод в E1 возможен только для конкретной фальсифицируемой гипотезы; первичный источник и интерпретация хранятся раздельно.</w:t>
            </w:r>
          </w:p>
        </w:tc>
      </w:tr>
    </w:tbl>
    <w:p>
      <w:pPr>
        <w:spacing w:after="40"/>
      </w:pPr>
    </w:p>
    <w:p>
      <w:pPr>
        <w:pStyle w:val="Heading1"/>
        <w:pageBreakBefore/>
      </w:pPr>
      <w:r>
        <w:rPr>
          <w:rFonts w:ascii="Calibri" w:hAnsi="Calibri" w:eastAsia="Calibri" w:cs="Calibri"/>
          <w:b/>
          <w:color w:val="A97817"/>
          <w:sz w:val="18"/>
          <w:lang w:val="ru-RU"/>
        </w:rPr>
        <w:t xml:space="preserve">МЕТАФОРА / E0  /  </w:t>
      </w:r>
      <w:r>
        <w:rPr>
          <w:rFonts w:ascii="Calibri" w:hAnsi="Calibri" w:eastAsia="Calibri" w:cs="Calibri"/>
          <w:b/>
          <w:color w:val="2E74B5"/>
          <w:sz w:val="32"/>
          <w:lang w:val="ru-RU"/>
        </w:rPr>
        <w:t>Кибалион: семь принципов как семантические эвристики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A97817"/>
          <w:left w:val="single" w:sz="8" w:space="0" w:color="A97817"/>
          <w:bottom w:val="single" w:sz="8" w:space="0" w:color="A97817"/>
          <w:right w:val="single" w:sz="8" w:space="0" w:color="A97817"/>
          <w:insideH w:val="single" w:sz="8" w:space="0" w:color="A97817"/>
          <w:insideV w:val="single" w:sz="8" w:space="0" w:color="A97817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FFF7E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A97817"/>
                <w:sz w:val="18"/>
                <w:lang w:val="ru-RU"/>
              </w:rPr>
              <w:t xml:space="preserve">СТАТУС ИСТОЧНИКА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«The Kybalion» анонимно опубликован под именем Three Initiates в Чикаго в 1908 году; он не приписывается Гермесу как установленному автору. Семь принципов ниже — историко-философские подсказки для вопросов, а не физические законы, научный консенсус или доказательство результата.</w:t>
            </w:r>
          </w:p>
        </w:tc>
      </w:tr>
    </w:tbl>
    <w:p>
      <w:pPr>
        <w:spacing w:after="40"/>
      </w:pPr>
    </w:p>
    <w:p>
      <w:pPr>
        <w:pStyle w:val="Heading2"/>
      </w:pPr>
      <w:r>
        <w:t>Crosswalk без подмены науки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Mentalism → модель не равна объекту; различать представление, наблюдение и реальность.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Correspondence → межмасштабная аналогия становится гипотезой только с механизмом и тестом.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Vibration → нужны частота, амплитуда, спектр, единица, окно и U; иначе это метафора.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Polarity → ось, полюса и ноль задаются явно; принцип нельзя применять для ранжирования людей.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Rhythm → временной ряд, период, фаза, сезонность и backtest на невидимых данных.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Cause &amp; Effect → каузальный дизайн, временной порядок, контроль альтернатив и вмешательство.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Gender → историческая символика источника, не биологическая или социальная классификация.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16979A"/>
          <w:left w:val="single" w:sz="8" w:space="0" w:color="16979A"/>
          <w:bottom w:val="single" w:sz="8" w:space="0" w:color="16979A"/>
          <w:right w:val="single" w:sz="8" w:space="0" w:color="16979A"/>
          <w:insideH w:val="single" w:sz="8" w:space="0" w:color="16979A"/>
          <w:insideV w:val="single" w:sz="8" w:space="0" w:color="16979A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16979A"/>
                <w:sz w:val="18"/>
                <w:lang w:val="ru-RU"/>
              </w:rPr>
              <w:t xml:space="preserve">ПОРОГ E1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Эвристика получает статус E1 только после формулировки объекта, измеряемой величины, механизма, альтернатив, предсказания и условия опровержения. Цитирование трактата подтверждает содержание традиции E0, но не истинность природного утверждения.</w:t>
            </w:r>
          </w:p>
        </w:tc>
      </w:tr>
    </w:tbl>
    <w:p>
      <w:pPr>
        <w:spacing w:after="40"/>
      </w:pPr>
    </w:p>
    <w:p>
      <w:pPr>
        <w:keepNext w:val="0"/>
      </w:pPr>
      <w:r>
        <w:rPr>
          <w:rFonts w:ascii="Calibri" w:hAnsi="Calibri" w:eastAsia="Calibri" w:cs="Calibri"/>
          <w:color w:val="172B3A"/>
          <w:lang w:val="ru-RU"/>
        </w:rPr>
        <w:t>В реестре каждая связь получает тип tradition / metaphor / hypothesis, источник, страницу, версию интерпретации и запрет автоматического повышения E. Технические решения продолжают опираться на SI, SOP, U, прослеживаемость и независимую проверку.</w:t>
      </w:r>
    </w:p>
    <w:p>
      <w:pPr>
        <w:pStyle w:val="Heading1"/>
        <w:pageBreakBefore/>
      </w:pPr>
      <w:r>
        <w:rPr>
          <w:rFonts w:ascii="Calibri" w:hAnsi="Calibri" w:eastAsia="Calibri" w:cs="Calibri"/>
          <w:b/>
          <w:color w:val="A97817"/>
          <w:sz w:val="18"/>
          <w:lang w:val="ru-RU"/>
        </w:rPr>
        <w:t xml:space="preserve">ПРАВА И УПРАВЛЕНИЕ  /  </w:t>
      </w:r>
      <w:r>
        <w:rPr>
          <w:rFonts w:ascii="Calibri" w:hAnsi="Calibri" w:eastAsia="Calibri" w:cs="Calibri"/>
          <w:b/>
          <w:color w:val="2E74B5"/>
          <w:sz w:val="32"/>
          <w:lang w:val="ru-RU"/>
        </w:rPr>
        <w:t>Человек в центре — субъект, а не объект индекса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A97817"/>
          <w:left w:val="single" w:sz="8" w:space="0" w:color="A97817"/>
          <w:bottom w:val="single" w:sz="8" w:space="0" w:color="A97817"/>
          <w:right w:val="single" w:sz="8" w:space="0" w:color="A97817"/>
          <w:insideH w:val="single" w:sz="8" w:space="0" w:color="A97817"/>
          <w:insideV w:val="single" w:sz="8" w:space="0" w:color="A97817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FFF7E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A97817"/>
                <w:sz w:val="18"/>
                <w:lang w:val="ru-RU"/>
              </w:rPr>
              <w:t xml:space="preserve">БАЗОВЫЙ ПРИНЦИП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Достоинство и субъектность человека первичны по отношению к удобству модели. Никакой реестр, прогноз или классификатор не присваивает человеку единый балл «судьбы», ценности или права на будущее и не принимает за него высокозначимое решение.</w:t>
            </w:r>
          </w:p>
        </w:tc>
      </w:tr>
    </w:tbl>
    <w:p>
      <w:pPr>
        <w:spacing w:after="40"/>
      </w:pPr>
    </w:p>
    <w:p>
      <w:pPr>
        <w:pStyle w:val="Heading2"/>
      </w:pPr>
      <w:r>
        <w:t>Обязательные гарантии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Ясная законная цель; свободная воля и информированное согласие там, где оно является основанием.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Минимизация данных, ограничение цели и срока; запрет вторичного использования «на всякий случай».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Понятное объяснение данных, логики, неопределённости и последствий конкретного решения.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Право исправить данные, оспорить вывод, обратиться к человеку и получить ручную отмену.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Доступность для разных способностей и языков; проверка систематических барьеров и смещений.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Справедливое распределение пользы, затрат и риска; участие затрагиваемых сообществ.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Именной владелец решения, журнал действий и независимая проверка; право остановки у человека.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16979A"/>
          <w:left w:val="single" w:sz="8" w:space="0" w:color="16979A"/>
          <w:bottom w:val="single" w:sz="8" w:space="0" w:color="16979A"/>
          <w:right w:val="single" w:sz="8" w:space="0" w:color="16979A"/>
          <w:insideH w:val="single" w:sz="8" w:space="0" w:color="16979A"/>
          <w:insideV w:val="single" w:sz="8" w:space="0" w:color="16979A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16979A"/>
                <w:sz w:val="18"/>
                <w:lang w:val="ru-RU"/>
              </w:rPr>
              <w:t xml:space="preserve">ЧЕЛОВЕК ВНУТРИ БИОСФЕРЫ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Human-centered не означает эксплуатационно антропоцентричный подход. Человек зависит от воды, почвы, климата, биоты и связности экосистем; защита субъектности совместима только с сохранением экологических границ и интересов будущих поколений.</w:t>
            </w:r>
          </w:p>
        </w:tc>
      </w:tr>
    </w:tbl>
    <w:p>
      <w:pPr>
        <w:spacing w:after="4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2E74B5"/>
          <w:left w:val="single" w:sz="8" w:space="0" w:color="2E74B5"/>
          <w:bottom w:val="single" w:sz="8" w:space="0" w:color="2E74B5"/>
          <w:right w:val="single" w:sz="8" w:space="0" w:color="2E74B5"/>
          <w:insideH w:val="single" w:sz="8" w:space="0" w:color="2E74B5"/>
          <w:insideV w:val="single" w:sz="8" w:space="0" w:color="2E74B5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2E74B5"/>
                <w:sz w:val="18"/>
                <w:lang w:val="ru-RU"/>
              </w:rPr>
              <w:t xml:space="preserve">АРХИТЕКТУРНАЯ СВЯЗЬ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ОРИОН BEN/VAL/DEC/RGT фиксирует получателя пользы, ценность, решение и права; BAL B02/B07/B11 удерживает достоинство, равенство и суверенность; FIELD S01/S13 связывает субъектность и диагностику риска. Ни один код не получает полномочие решать вместо человека.</w:t>
            </w:r>
          </w:p>
        </w:tc>
      </w:tr>
    </w:tbl>
    <w:p>
      <w:pPr>
        <w:spacing w:after="40"/>
      </w:pPr>
    </w:p>
    <w:p>
      <w:pPr>
        <w:pStyle w:val="Heading1"/>
        <w:pageBreakBefore/>
      </w:pPr>
      <w:r>
        <w:rPr>
          <w:rFonts w:ascii="Calibri" w:hAnsi="Calibri" w:eastAsia="Calibri" w:cs="Calibri"/>
          <w:b/>
          <w:color w:val="A97817"/>
          <w:sz w:val="18"/>
          <w:lang w:val="ru-RU"/>
        </w:rPr>
        <w:t xml:space="preserve">МЕТАФОРА E0 / МОДЕЛЬ E1  /  </w:t>
      </w:r>
      <w:r>
        <w:rPr>
          <w:rFonts w:ascii="Calibri" w:hAnsi="Calibri" w:eastAsia="Calibri" w:cs="Calibri"/>
          <w:b/>
          <w:color w:val="2E74B5"/>
          <w:sz w:val="32"/>
          <w:lang w:val="ru-RU"/>
        </w:rPr>
        <w:t>Галактические ключи и Врата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A97817"/>
          <w:left w:val="single" w:sz="8" w:space="0" w:color="A97817"/>
          <w:bottom w:val="single" w:sz="8" w:space="0" w:color="A97817"/>
          <w:right w:val="single" w:sz="8" w:space="0" w:color="A97817"/>
          <w:insideH w:val="single" w:sz="8" w:space="0" w:color="A97817"/>
          <w:insideV w:val="single" w:sz="8" w:space="0" w:color="A97817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FFF7E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A97817"/>
                <w:sz w:val="18"/>
                <w:lang w:val="ru-RU"/>
              </w:rPr>
              <w:t xml:space="preserve">ГРАНИЦА ИНТЕРПРЕТАЦИИ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«Ключи» и «Врата» — язык навигации по смыслам и проверкам. Это не физические порталы, не астрономические координаты и не способ обойти измерение, права или человеческое решение.</w:t>
            </w:r>
          </w:p>
        </w:tc>
      </w:tr>
    </w:tbl>
    <w:p>
      <w:pPr>
        <w:spacing w:after="4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2E74B5"/>
          <w:left w:val="single" w:sz="8" w:space="0" w:color="2E74B5"/>
          <w:bottom w:val="single" w:sz="8" w:space="0" w:color="2E74B5"/>
          <w:right w:val="single" w:sz="8" w:space="0" w:color="2E74B5"/>
          <w:insideH w:val="single" w:sz="8" w:space="0" w:color="2E74B5"/>
          <w:insideV w:val="single" w:sz="8" w:space="0" w:color="2E74B5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2E74B5"/>
                <w:sz w:val="18"/>
                <w:lang w:val="ru-RU"/>
              </w:rPr>
              <w:t xml:space="preserve">ТИПИЗИРОВАННЫЙ АДРЕС КЛЮЧА  </w:t>
            </w:r>
            <w:r>
              <w:rPr>
                <w:rFonts w:ascii="Cambria Math" w:hAnsi="Cambria Math" w:eastAsia="Cambria Math" w:cs="Cambria Math"/>
                <w:b/>
                <w:color w:val="0B2545"/>
                <w:sz w:val="24"/>
                <w:lang w:val="ru-RU"/>
              </w:rPr>
              <w:t>GKEY:&lt;VAL&gt;:&lt;OBJ&gt;:&lt;GEO&gt;:&lt;TIM&gt;:&lt;E&gt;:&lt;DEC&gt;:v#</w:t>
            </w:r>
          </w:p>
        </w:tc>
      </w:tr>
    </w:tbl>
    <w:p>
      <w:pPr>
        <w:spacing w:after="40"/>
      </w:pPr>
    </w:p>
    <w:p>
      <w:pPr>
        <w:keepNext w:val="0"/>
      </w:pPr>
      <w:r>
        <w:rPr>
          <w:rFonts w:ascii="Calibri" w:hAnsi="Calibri" w:eastAsia="Calibri" w:cs="Calibri"/>
          <w:color w:val="172B3A"/>
          <w:lang w:val="ru-RU"/>
        </w:rPr>
        <w:t>Ключ связывает ценность и контекст с объектом, местом, временем, доказательством и решением. Он адресует запись, но не подтверждает её и не даёт полномочия на действие.</w:t>
      </w:r>
    </w:p>
    <w:p>
      <w:pPr>
        <w:pStyle w:val="Heading2"/>
      </w:pPr>
      <w:r>
        <w:t>Восемь ключей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Смысл — зачем; Ритм — когда; Масштаб — где проходит граница; Связь — с чем сопоставлено.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Мера — что измерено; Доказательство — чем подтверждено; Ответственность — кто решает; Память — что сохранено.</w:t>
      </w:r>
    </w:p>
    <w:p>
      <w:pPr>
        <w:pStyle w:val="Heading2"/>
      </w:pPr>
      <w:r>
        <w:t>Врата G0–G8</w:t>
      </w:r>
    </w:p>
    <w:p>
      <w:pPr>
        <w:keepNext w:val="0"/>
      </w:pPr>
      <w:r>
        <w:rPr>
          <w:rFonts w:ascii="Calibri" w:hAnsi="Calibri" w:eastAsia="Calibri" w:cs="Calibri"/>
          <w:color w:val="172B3A"/>
          <w:lang w:val="ru-RU"/>
        </w:rPr>
        <w:t>G0 смысл → G1 права → G2 measurand → G3 протокол → G4 данные/QA/U → G5 E-gate → G6 независимая проверка → G7 human decision → G8 архив и надзор. На любом шаге допустимы PASS, REWORK или STOP; отсутствие обязательного поля закрывает Врата.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16979A"/>
          <w:left w:val="single" w:sz="8" w:space="0" w:color="16979A"/>
          <w:bottom w:val="single" w:sz="8" w:space="0" w:color="16979A"/>
          <w:right w:val="single" w:sz="8" w:space="0" w:color="16979A"/>
          <w:insideH w:val="single" w:sz="8" w:space="0" w:color="16979A"/>
          <w:insideV w:val="single" w:sz="8" w:space="0" w:color="16979A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16979A"/>
                <w:sz w:val="18"/>
                <w:lang w:val="ru-RU"/>
              </w:rPr>
              <w:t xml:space="preserve">МАРШРУТ ДОКАЗАТЕЛЬСТВА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E0 образ → E1 фальсифицируемая гипотеза → E2 ограниченный пилот → E3 независимая проверка → E4 воспроизводимая практика. STOP разрешён на любом переходе; красивый символ не сокращает маршрут.</w:t>
            </w:r>
          </w:p>
        </w:tc>
      </w:tr>
    </w:tbl>
    <w:p>
      <w:pPr>
        <w:spacing w:after="40"/>
      </w:pP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ОРИОН предоставляет VAL/OBJ/GEO/TIM/E/DEC; Карта валидации — Claim ID и gate; реестр — версию, provenance и историю STOP.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Ключ не подписывает решение, не повышает E и не заменяет владельца, проверяющего или согласие.</w:t>
      </w:r>
    </w:p>
    <w:p>
      <w:pPr>
        <w:pStyle w:val="Heading1"/>
        <w:pageBreakBefore/>
      </w:pPr>
      <w:r>
        <w:rPr>
          <w:rFonts w:ascii="Calibri" w:hAnsi="Calibri" w:eastAsia="Calibri" w:cs="Calibri"/>
          <w:b/>
          <w:color w:val="A97817"/>
          <w:sz w:val="18"/>
          <w:lang w:val="ru-RU"/>
        </w:rPr>
        <w:t xml:space="preserve">НАУКА  /  </w:t>
      </w:r>
      <w:r>
        <w:rPr>
          <w:rFonts w:ascii="Calibri" w:hAnsi="Calibri" w:eastAsia="Calibri" w:cs="Calibri"/>
          <w:b/>
          <w:color w:val="2E74B5"/>
          <w:sz w:val="32"/>
          <w:lang w:val="ru-RU"/>
        </w:rPr>
        <w:t>Массовая плотность: эталон строгого определения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2E74B5"/>
          <w:left w:val="single" w:sz="8" w:space="0" w:color="2E74B5"/>
          <w:bottom w:val="single" w:sz="8" w:space="0" w:color="2E74B5"/>
          <w:right w:val="single" w:sz="8" w:space="0" w:color="2E74B5"/>
          <w:insideH w:val="single" w:sz="8" w:space="0" w:color="2E74B5"/>
          <w:insideV w:val="single" w:sz="8" w:space="0" w:color="2E74B5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2E74B5"/>
                <w:sz w:val="18"/>
                <w:lang w:val="ru-RU"/>
              </w:rPr>
              <w:t xml:space="preserve">ОПРЕДЕЛЕНИЕ И ЕДИНИЦА  </w:t>
            </w:r>
            <w:r>
              <w:rPr>
                <w:rFonts w:ascii="Cambria Math" w:hAnsi="Cambria Math" w:eastAsia="Cambria Math" w:cs="Cambria Math"/>
                <w:b/>
                <w:color w:val="0B2545"/>
                <w:sz w:val="24"/>
                <w:lang w:val="ru-RU"/>
              </w:rPr>
              <w:t>ρ = m / V     [ρ] = M·L⁻³     единица SI: kg/m³</w:t>
            </w:r>
          </w:p>
        </w:tc>
      </w:tr>
    </w:tbl>
    <w:p>
      <w:pPr>
        <w:spacing w:after="40"/>
      </w:pPr>
    </w:p>
    <w:p>
      <w:pPr>
        <w:keepNext w:val="0"/>
      </w:pPr>
      <w:r>
        <w:rPr>
          <w:rFonts w:ascii="Calibri" w:hAnsi="Calibri" w:eastAsia="Calibri" w:cs="Calibri"/>
          <w:color w:val="172B3A"/>
          <w:lang w:val="ru-RU"/>
        </w:rPr>
        <w:t>Массовая плотность связывает массу образца m и его объём V. Простая формула не делает измерение простым: объект должен быть однородным или иметь определённую область усреднения; температура, давление, влажность, пористость и фазовое состояние могут менять объём и результат.</w:t>
      </w:r>
    </w:p>
    <w:p>
      <w:pPr>
        <w:keepNext w:val="0"/>
      </w:pPr>
      <w:r>
        <w:rPr>
          <w:rFonts w:ascii="Calibri" w:hAnsi="Calibri" w:eastAsia="Calibri" w:cs="Calibri"/>
          <w:color w:val="172B3A"/>
          <w:lang w:val="ru-RU"/>
        </w:rPr>
        <w:t>Результат плотности нельзя публиковать как одно число. Минимальная запись включает оценку ρ, расширенную неопределённость U, коэффициент охвата или доверительную процедуру, единицу, условия, метод определения m и V, идентификаторы средств измерений и связь с калибровками.</w:t>
      </w:r>
    </w:p>
    <w:p>
      <w:pPr>
        <w:pStyle w:val="KRPICaption"/>
        <w:keepNext/>
      </w:pPr>
      <w:r>
        <w:t>Таблица 2 — Пример проектного паспорта измерения плотности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FD8E3"/>
          <w:left w:val="single" w:sz="6" w:space="0" w:color="CFD8E3"/>
          <w:bottom w:val="single" w:sz="6" w:space="0" w:color="CFD8E3"/>
          <w:right w:val="single" w:sz="6" w:space="0" w:color="CFD8E3"/>
          <w:insideH w:val="single" w:sz="6" w:space="0" w:color="CFD8E3"/>
          <w:insideV w:val="single" w:sz="6" w:space="0" w:color="CFD8E3"/>
        </w:tblBorders>
      </w:tblPr>
      <w:tblGrid>
        <w:gridCol w:w="2250"/>
        <w:gridCol w:w="7110"/>
      </w:tblGrid>
      <w:tr>
        <w:trPr>
          <w:tblHeader w:val="true"/>
          <w:cantSplit/>
        </w:trPr>
        <w:tc>
          <w:tcPr>
            <w:tcW w:type="dxa" w:w="22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8"/>
                <w:lang w:val="ru-RU"/>
              </w:rPr>
              <w:t>Поле</w:t>
            </w:r>
          </w:p>
        </w:tc>
        <w:tc>
          <w:tcPr>
            <w:tcW w:type="dxa" w:w="711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8"/>
                <w:lang w:val="ru-RU"/>
              </w:rPr>
              <w:t>Пример записи</w:t>
            </w:r>
          </w:p>
        </w:tc>
      </w:tr>
      <w:tr>
        <w:trPr>
          <w:cantSplit/>
        </w:trPr>
        <w:tc>
          <w:tcPr>
            <w:tcW w:type="dxa" w:w="2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8"/>
                <w:lang w:val="ru-RU"/>
              </w:rPr>
              <w:t>Измеряемая величина</w:t>
            </w:r>
          </w:p>
        </w:tc>
        <w:tc>
          <w:tcPr>
            <w:tcW w:type="dxa" w:w="71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8"/>
                <w:lang w:val="ru-RU"/>
              </w:rPr>
              <w:t>Средняя массовая плотность образца в заданной геометрической области</w:t>
            </w:r>
          </w:p>
        </w:tc>
      </w:tr>
      <w:tr>
        <w:trPr>
          <w:cantSplit/>
        </w:trPr>
        <w:tc>
          <w:tcPr>
            <w:tcW w:type="dxa" w:w="225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8"/>
                <w:lang w:val="ru-RU"/>
              </w:rPr>
              <w:t>Модель</w:t>
            </w:r>
          </w:p>
        </w:tc>
        <w:tc>
          <w:tcPr>
            <w:tcW w:type="dxa" w:w="711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8"/>
                <w:lang w:val="ru-RU"/>
              </w:rPr>
              <w:t>ρ = m/V; поправки на воздух, температуру и геометрию задаются методикой</w:t>
            </w:r>
          </w:p>
        </w:tc>
      </w:tr>
      <w:tr>
        <w:trPr>
          <w:cantSplit/>
        </w:trPr>
        <w:tc>
          <w:tcPr>
            <w:tcW w:type="dxa" w:w="2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8"/>
                <w:lang w:val="ru-RU"/>
              </w:rPr>
              <w:t>Условия</w:t>
            </w:r>
          </w:p>
        </w:tc>
        <w:tc>
          <w:tcPr>
            <w:tcW w:type="dxa" w:w="71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8"/>
                <w:lang w:val="ru-RU"/>
              </w:rPr>
              <w:t>Температура и давление регистрируются; состояние образца фиксируется</w:t>
            </w:r>
          </w:p>
        </w:tc>
      </w:tr>
      <w:tr>
        <w:trPr>
          <w:cantSplit/>
        </w:trPr>
        <w:tc>
          <w:tcPr>
            <w:tcW w:type="dxa" w:w="225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8"/>
                <w:lang w:val="ru-RU"/>
              </w:rPr>
              <w:t>Результат</w:t>
            </w:r>
          </w:p>
        </w:tc>
        <w:tc>
          <w:tcPr>
            <w:tcW w:type="dxa" w:w="711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8"/>
                <w:lang w:val="ru-RU"/>
              </w:rPr>
              <w:t>ρ = y ± U kg/m³; k и уровень охвата указаны отдельно</w:t>
            </w:r>
          </w:p>
        </w:tc>
      </w:tr>
      <w:tr>
        <w:trPr>
          <w:cantSplit/>
        </w:trPr>
        <w:tc>
          <w:tcPr>
            <w:tcW w:type="dxa" w:w="2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8"/>
                <w:lang w:val="ru-RU"/>
              </w:rPr>
              <w:t>Прослеживаемость</w:t>
            </w:r>
          </w:p>
        </w:tc>
        <w:tc>
          <w:tcPr>
            <w:tcW w:type="dxa" w:w="71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8"/>
                <w:lang w:val="ru-RU"/>
              </w:rPr>
              <w:t>Масса и длина/объём связаны с эталонами через документированные калибровки</w:t>
            </w:r>
          </w:p>
        </w:tc>
      </w:tr>
    </w:tbl>
    <w:p>
      <w:pPr>
        <w:spacing w:before="0" w:after="80"/>
      </w:pP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Номерная плотность, плотность заряда и оптическая плотность — другие величины; их нельзя объединять одним коэффициентом.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Для неоднородной среды локальная ρ(r,t) и средняя плотность по объёму отвечают на разные вопросы.</w:t>
      </w:r>
    </w:p>
    <w:p>
      <w:pPr>
        <w:pStyle w:val="Heading1"/>
        <w:pageBreakBefore/>
      </w:pPr>
      <w:r>
        <w:rPr>
          <w:rFonts w:ascii="Calibri" w:hAnsi="Calibri" w:eastAsia="Calibri" w:cs="Calibri"/>
          <w:b/>
          <w:color w:val="A97817"/>
          <w:sz w:val="18"/>
          <w:lang w:val="ru-RU"/>
        </w:rPr>
        <w:t xml:space="preserve">РАЗГРАНИЧЕНИЕ  /  </w:t>
      </w:r>
      <w:r>
        <w:rPr>
          <w:rFonts w:ascii="Calibri" w:hAnsi="Calibri" w:eastAsia="Calibri" w:cs="Calibri"/>
          <w:b/>
          <w:color w:val="2E74B5"/>
          <w:sz w:val="32"/>
          <w:lang w:val="ru-RU"/>
        </w:rPr>
        <w:t>Энергетическая и информационная плотности</w:t>
      </w:r>
    </w:p>
    <w:p>
      <w:pPr>
        <w:pStyle w:val="Heading2"/>
      </w:pPr>
      <w:r>
        <w:t>Физические энергетические величины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2E74B5"/>
          <w:left w:val="single" w:sz="8" w:space="0" w:color="2E74B5"/>
          <w:bottom w:val="single" w:sz="8" w:space="0" w:color="2E74B5"/>
          <w:right w:val="single" w:sz="8" w:space="0" w:color="2E74B5"/>
          <w:insideH w:val="single" w:sz="8" w:space="0" w:color="2E74B5"/>
          <w:insideV w:val="single" w:sz="8" w:space="0" w:color="2E74B5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2E74B5"/>
                <w:sz w:val="18"/>
                <w:lang w:val="ru-RU"/>
              </w:rPr>
              <w:t xml:space="preserve">ДВЕ РАЗНЫЕ НОРМЫ  </w:t>
            </w:r>
            <w:r>
              <w:rPr>
                <w:rFonts w:ascii="Cambria Math" w:hAnsi="Cambria Math" w:eastAsia="Cambria Math" w:cs="Cambria Math"/>
                <w:b/>
                <w:color w:val="0B2545"/>
                <w:sz w:val="24"/>
                <w:lang w:val="ru-RU"/>
              </w:rPr>
              <w:t>u = E / V   [J/m³]     •     e = E / m   [J/kg]</w:t>
            </w:r>
          </w:p>
        </w:tc>
      </w:tr>
    </w:tbl>
    <w:p>
      <w:pPr>
        <w:spacing w:after="40"/>
      </w:pPr>
    </w:p>
    <w:p>
      <w:pPr>
        <w:keepNext w:val="0"/>
      </w:pPr>
      <w:r>
        <w:rPr>
          <w:rFonts w:ascii="Calibri" w:hAnsi="Calibri" w:eastAsia="Calibri" w:cs="Calibri"/>
          <w:color w:val="172B3A"/>
          <w:lang w:val="ru-RU"/>
        </w:rPr>
        <w:t>Плотность энергии u и удельная энергия e имеют разные знаменатели и применяются к разным решениям. В энергетике и материалах дополнительно фиксируются вид энергии, граница системы, время интегрирования, потери, режим заряда/разряда и безопасность.</w:t>
      </w:r>
    </w:p>
    <w:p>
      <w:pPr>
        <w:pStyle w:val="Heading2"/>
      </w:pPr>
      <w:r>
        <w:t>Проектные информационные метрики</w:t>
      </w:r>
    </w:p>
    <w:p>
      <w:pPr>
        <w:keepNext w:val="0"/>
      </w:pPr>
      <w:r>
        <w:rPr>
          <w:rFonts w:ascii="Calibri" w:hAnsi="Calibri" w:eastAsia="Calibri" w:cs="Calibri"/>
          <w:color w:val="172B3A"/>
          <w:lang w:val="ru-RU"/>
        </w:rPr>
        <w:t>«Информационная плотность» не является одной универсальной величиной SI. В вычислительной и измерительной системе это семейство показателей, допустимых лишь после операционального определения.</w:t>
      </w:r>
    </w:p>
    <w:p>
      <w:pPr>
        <w:pStyle w:val="KRPICaption"/>
        <w:keepNext/>
      </w:pPr>
      <w:r>
        <w:t>Таблица 3 — Допустимые проектные метрики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FD8E3"/>
          <w:left w:val="single" w:sz="6" w:space="0" w:color="CFD8E3"/>
          <w:bottom w:val="single" w:sz="6" w:space="0" w:color="CFD8E3"/>
          <w:right w:val="single" w:sz="6" w:space="0" w:color="CFD8E3"/>
          <w:insideH w:val="single" w:sz="6" w:space="0" w:color="CFD8E3"/>
          <w:insideV w:val="single" w:sz="6" w:space="0" w:color="CFD8E3"/>
        </w:tblBorders>
      </w:tblPr>
      <w:tblGrid>
        <w:gridCol w:w="2600"/>
        <w:gridCol w:w="1900"/>
        <w:gridCol w:w="4860"/>
      </w:tblGrid>
      <w:tr>
        <w:trPr>
          <w:tblHeader w:val="true"/>
          <w:cantSplit/>
        </w:trPr>
        <w:tc>
          <w:tcPr>
            <w:tcW w:type="dxa" w:w="26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7"/>
                <w:lang w:val="ru-RU"/>
              </w:rPr>
              <w:t>Метрика</w:t>
            </w:r>
          </w:p>
        </w:tc>
        <w:tc>
          <w:tcPr>
            <w:tcW w:type="dxa" w:w="1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7"/>
                <w:lang w:val="ru-RU"/>
              </w:rPr>
              <w:t>Единица</w:t>
            </w:r>
          </w:p>
        </w:tc>
        <w:tc>
          <w:tcPr>
            <w:tcW w:type="dxa" w:w="48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7"/>
                <w:lang w:val="ru-RU"/>
              </w:rPr>
              <w:t>Что необходимо зафиксировать</w:t>
            </w:r>
          </w:p>
        </w:tc>
      </w:tr>
      <w:tr>
        <w:trPr>
          <w:cantSplit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7"/>
                <w:lang w:val="ru-RU"/>
              </w:rPr>
              <w:t>Плотность хранения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bit/m³ или byte/m³</w:t>
            </w:r>
          </w:p>
        </w:tc>
        <w:tc>
          <w:tcPr>
            <w:tcW w:type="dxa" w:w="4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Физический объём, полезная ёмкость, кодирование, избыточность</w:t>
            </w:r>
          </w:p>
        </w:tc>
      </w:tr>
      <w:tr>
        <w:trPr>
          <w:cantSplit/>
        </w:trPr>
        <w:tc>
          <w:tcPr>
            <w:tcW w:type="dxa" w:w="26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7"/>
                <w:lang w:val="ru-RU"/>
              </w:rPr>
              <w:t>Плотность потока данных</w:t>
            </w:r>
          </w:p>
        </w:tc>
        <w:tc>
          <w:tcPr>
            <w:tcW w:type="dxa" w:w="19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bit/(s·m²) или bit/s на канал</w:t>
            </w:r>
          </w:p>
        </w:tc>
        <w:tc>
          <w:tcPr>
            <w:tcW w:type="dxa" w:w="486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Граница интерфейса, полоса, потери и задержка</w:t>
            </w:r>
          </w:p>
        </w:tc>
      </w:tr>
      <w:tr>
        <w:trPr>
          <w:cantSplit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7"/>
                <w:lang w:val="ru-RU"/>
              </w:rPr>
              <w:t>Плотность валидных наблюдений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наблюдений/(m³·s)</w:t>
            </w:r>
          </w:p>
        </w:tc>
        <w:tc>
          <w:tcPr>
            <w:tcW w:type="dxa" w:w="4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Критерий валидности, окно, область, пропуски</w:t>
            </w:r>
          </w:p>
        </w:tc>
      </w:tr>
      <w:tr>
        <w:trPr>
          <w:cantSplit/>
        </w:trPr>
        <w:tc>
          <w:tcPr>
            <w:tcW w:type="dxa" w:w="26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7"/>
                <w:lang w:val="ru-RU"/>
              </w:rPr>
              <w:t>Плотность доказательств</w:t>
            </w:r>
          </w:p>
        </w:tc>
        <w:tc>
          <w:tcPr>
            <w:tcW w:type="dxa" w:w="19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проверенных записей на объект-событие</w:t>
            </w:r>
          </w:p>
        </w:tc>
        <w:tc>
          <w:tcPr>
            <w:tcW w:type="dxa" w:w="486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Состав паспорта, уникальность, версия и независимость</w:t>
            </w:r>
          </w:p>
        </w:tc>
      </w:tr>
    </w:tbl>
    <w:p>
      <w:pPr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A97817"/>
          <w:left w:val="single" w:sz="8" w:space="0" w:color="A97817"/>
          <w:bottom w:val="single" w:sz="8" w:space="0" w:color="A97817"/>
          <w:right w:val="single" w:sz="8" w:space="0" w:color="A97817"/>
          <w:insideH w:val="single" w:sz="8" w:space="0" w:color="A97817"/>
          <w:insideV w:val="single" w:sz="8" w:space="0" w:color="A97817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FFF7E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A97817"/>
                <w:sz w:val="18"/>
                <w:lang w:val="ru-RU"/>
              </w:rPr>
              <w:t xml:space="preserve">ИНЖЕНЕРНАЯ ОГОВОРКА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Эти метрики становятся управленческими только после базовой линии и проверки связи с решением. Больше данных не обязательно означает больше знания или меньшую неопределённость.</w:t>
            </w:r>
          </w:p>
        </w:tc>
      </w:tr>
    </w:tbl>
    <w:p>
      <w:pPr>
        <w:spacing w:after="40"/>
      </w:pPr>
    </w:p>
    <w:p>
      <w:pPr>
        <w:pStyle w:val="Heading1"/>
        <w:pageBreakBefore/>
      </w:pPr>
      <w:r>
        <w:rPr>
          <w:rFonts w:ascii="Calibri" w:hAnsi="Calibri" w:eastAsia="Calibri" w:cs="Calibri"/>
          <w:b/>
          <w:color w:val="A97817"/>
          <w:sz w:val="18"/>
          <w:lang w:val="ru-RU"/>
        </w:rPr>
        <w:t xml:space="preserve">МОДЕЛЬ  /  </w:t>
      </w:r>
      <w:r>
        <w:rPr>
          <w:rFonts w:ascii="Calibri" w:hAnsi="Calibri" w:eastAsia="Calibri" w:cs="Calibri"/>
          <w:b/>
          <w:color w:val="2E74B5"/>
          <w:sz w:val="32"/>
          <w:lang w:val="ru-RU"/>
        </w:rPr>
        <w:t>Измерительная цепь: от объекта до решения</w:t>
      </w:r>
    </w:p>
    <w:p>
      <w:pPr>
        <w:keepNext w:val="0"/>
      </w:pPr>
      <w:r>
        <w:rPr>
          <w:rFonts w:ascii="Calibri" w:hAnsi="Calibri" w:eastAsia="Calibri" w:cs="Calibri"/>
          <w:color w:val="172B3A"/>
          <w:lang w:val="ru-RU"/>
        </w:rPr>
        <w:t>Измеряемая величина (measurand) должна быть определена раньше датчика. Измерительная модель связывает входные величины Xᵢ, поправки и условия с выходной величиной Y.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2E74B5"/>
          <w:left w:val="single" w:sz="8" w:space="0" w:color="2E74B5"/>
          <w:bottom w:val="single" w:sz="8" w:space="0" w:color="2E74B5"/>
          <w:right w:val="single" w:sz="8" w:space="0" w:color="2E74B5"/>
          <w:insideH w:val="single" w:sz="8" w:space="0" w:color="2E74B5"/>
          <w:insideV w:val="single" w:sz="8" w:space="0" w:color="2E74B5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2E74B5"/>
                <w:sz w:val="18"/>
                <w:lang w:val="ru-RU"/>
              </w:rPr>
              <w:t xml:space="preserve">ОБЩАЯ ФОРМА  </w:t>
            </w:r>
            <w:r>
              <w:rPr>
                <w:rFonts w:ascii="Cambria Math" w:hAnsi="Cambria Math" w:eastAsia="Cambria Math" w:cs="Cambria Math"/>
                <w:b/>
                <w:color w:val="0B2545"/>
                <w:sz w:val="24"/>
                <w:lang w:val="ru-RU"/>
              </w:rPr>
              <w:t>Y = f(X₁, X₂, …, Xₙ; θ) + Δmodel</w:t>
            </w:r>
          </w:p>
        </w:tc>
      </w:tr>
    </w:tbl>
    <w:p>
      <w:pPr>
        <w:spacing w:after="40"/>
      </w:pPr>
    </w:p>
    <w:p>
      <w:pPr>
        <w:pStyle w:val="Heading2"/>
      </w:pPr>
      <w:r>
        <w:t>Сквозной процесс</w:t>
      </w:r>
    </w:p>
    <w:p>
      <w:pPr>
        <w:pStyle w:val="KRPIList"/>
        <w:numPr>
          <w:ilvl w:val="0"/>
          <w:numId w:val="12"/>
        </w:numPr>
      </w:pPr>
      <w:r>
        <w:rPr>
          <w:rFonts w:ascii="Calibri" w:hAnsi="Calibri" w:eastAsia="Calibri" w:cs="Calibri"/>
          <w:color w:val="172B3A"/>
          <w:lang w:val="ru-RU"/>
        </w:rPr>
        <w:t>Определить объект, границу, величину, размерность, единицу и условия.</w:t>
      </w:r>
    </w:p>
    <w:p>
      <w:pPr>
        <w:pStyle w:val="KRPIList"/>
        <w:numPr>
          <w:ilvl w:val="0"/>
          <w:numId w:val="12"/>
        </w:numPr>
      </w:pPr>
      <w:r>
        <w:rPr>
          <w:rFonts w:ascii="Calibri" w:hAnsi="Calibri" w:eastAsia="Calibri" w:cs="Calibri"/>
          <w:color w:val="172B3A"/>
          <w:lang w:val="ru-RU"/>
        </w:rPr>
        <w:t>Зафиксировать метод, версию программного обеспечения и конфигурацию оборудования.</w:t>
      </w:r>
    </w:p>
    <w:p>
      <w:pPr>
        <w:pStyle w:val="KRPIList"/>
        <w:numPr>
          <w:ilvl w:val="0"/>
          <w:numId w:val="12"/>
        </w:numPr>
      </w:pPr>
      <w:r>
        <w:rPr>
          <w:rFonts w:ascii="Calibri" w:hAnsi="Calibri" w:eastAsia="Calibri" w:cs="Calibri"/>
          <w:color w:val="172B3A"/>
          <w:lang w:val="ru-RU"/>
        </w:rPr>
        <w:t>Получить первичные показания вместе со временем, местом и состоянием среды.</w:t>
      </w:r>
    </w:p>
    <w:p>
      <w:pPr>
        <w:pStyle w:val="KRPIList"/>
        <w:numPr>
          <w:ilvl w:val="0"/>
          <w:numId w:val="12"/>
        </w:numPr>
      </w:pPr>
      <w:r>
        <w:rPr>
          <w:rFonts w:ascii="Calibri" w:hAnsi="Calibri" w:eastAsia="Calibri" w:cs="Calibri"/>
          <w:color w:val="172B3A"/>
          <w:lang w:val="ru-RU"/>
        </w:rPr>
        <w:t>Применить калибровки, поправки и модель преобразования; сохранить исходные данные.</w:t>
      </w:r>
    </w:p>
    <w:p>
      <w:pPr>
        <w:pStyle w:val="KRPIList"/>
        <w:numPr>
          <w:ilvl w:val="0"/>
          <w:numId w:val="12"/>
        </w:numPr>
      </w:pPr>
      <w:r>
        <w:rPr>
          <w:rFonts w:ascii="Calibri" w:hAnsi="Calibri" w:eastAsia="Calibri" w:cs="Calibri"/>
          <w:color w:val="172B3A"/>
          <w:lang w:val="ru-RU"/>
        </w:rPr>
        <w:t>Оценить неопределённость и ковариации; выполнить проверки чувствительности.</w:t>
      </w:r>
    </w:p>
    <w:p>
      <w:pPr>
        <w:pStyle w:val="KRPIList"/>
        <w:numPr>
          <w:ilvl w:val="0"/>
          <w:numId w:val="12"/>
        </w:numPr>
      </w:pPr>
      <w:r>
        <w:rPr>
          <w:rFonts w:ascii="Calibri" w:hAnsi="Calibri" w:eastAsia="Calibri" w:cs="Calibri"/>
          <w:color w:val="172B3A"/>
          <w:lang w:val="ru-RU"/>
        </w:rPr>
        <w:t>Проверить качество, целостность, прослеживаемость и независимость подтверждения.</w:t>
      </w:r>
    </w:p>
    <w:p>
      <w:pPr>
        <w:pStyle w:val="KRPIList"/>
        <w:numPr>
          <w:ilvl w:val="0"/>
          <w:numId w:val="12"/>
        </w:numPr>
      </w:pPr>
      <w:r>
        <w:rPr>
          <w:rFonts w:ascii="Calibri" w:hAnsi="Calibri" w:eastAsia="Calibri" w:cs="Calibri"/>
          <w:color w:val="172B3A"/>
          <w:lang w:val="ru-RU"/>
        </w:rPr>
        <w:t>Передать в решение не число, а паспортированный результат и допустимую область применения.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16979A"/>
          <w:left w:val="single" w:sz="8" w:space="0" w:color="16979A"/>
          <w:bottom w:val="single" w:sz="8" w:space="0" w:color="16979A"/>
          <w:right w:val="single" w:sz="8" w:space="0" w:color="16979A"/>
          <w:insideH w:val="single" w:sz="8" w:space="0" w:color="16979A"/>
          <w:insideV w:val="single" w:sz="8" w:space="0" w:color="16979A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16979A"/>
                <w:sz w:val="18"/>
                <w:lang w:val="ru-RU"/>
              </w:rPr>
              <w:t xml:space="preserve">ФОРМАТ РЕЗУЛЬТАТА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y ± U; единица; k/охват; условия; время; метод@версия; идентификаторы калибровок; флаги качества; ссылка на сырые данные и вычислительный журнал.</w:t>
            </w:r>
          </w:p>
        </w:tc>
      </w:tr>
    </w:tbl>
    <w:p>
      <w:pPr>
        <w:spacing w:after="40"/>
      </w:pPr>
    </w:p>
    <w:p>
      <w:pPr>
        <w:keepNext w:val="0"/>
      </w:pPr>
      <w:r>
        <w:rPr>
          <w:rFonts w:ascii="Calibri" w:hAnsi="Calibri" w:eastAsia="Calibri" w:cs="Calibri"/>
          <w:color w:val="172B3A"/>
          <w:lang w:val="ru-RU"/>
        </w:rPr>
        <w:t>Алгоритм машинного обучения может участвовать в f(·), но не освобождает от метрологии. Версия модели, обучающая выборка, дрейф, устойчивость вне обучающего диапазона и вклад алгоритма в неопределённость становятся частью паспорта.</w:t>
      </w:r>
    </w:p>
    <w:p>
      <w:pPr>
        <w:pStyle w:val="Heading1"/>
        <w:pageBreakBefore/>
      </w:pPr>
      <w:r>
        <w:rPr>
          <w:rFonts w:ascii="Calibri" w:hAnsi="Calibri" w:eastAsia="Calibri" w:cs="Calibri"/>
          <w:b/>
          <w:color w:val="A97817"/>
          <w:sz w:val="18"/>
          <w:lang w:val="ru-RU"/>
        </w:rPr>
        <w:t xml:space="preserve">МЕТРОЛОГИЯ  /  </w:t>
      </w:r>
      <w:r>
        <w:rPr>
          <w:rFonts w:ascii="Calibri" w:hAnsi="Calibri" w:eastAsia="Calibri" w:cs="Calibri"/>
          <w:b/>
          <w:color w:val="2E74B5"/>
          <w:sz w:val="32"/>
          <w:lang w:val="ru-RU"/>
        </w:rPr>
        <w:t>Неопределённость: честная граница знания</w:t>
      </w:r>
    </w:p>
    <w:p>
      <w:pPr>
        <w:keepNext w:val="0"/>
      </w:pPr>
      <w:r>
        <w:rPr>
          <w:rFonts w:ascii="Calibri" w:hAnsi="Calibri" w:eastAsia="Calibri" w:cs="Calibri"/>
          <w:color w:val="172B3A"/>
          <w:lang w:val="ru-RU"/>
        </w:rPr>
        <w:t>Неопределённость не означает «плохое измерение». Она делает видимыми пределы утверждения и позволяет сравнивать методы. Бюджет включает статистические составляющие и компоненты, оценённые по калибровкам, спецификациям, моделям, эталонным материалам и экспертно обоснованной информации.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2E74B5"/>
          <w:left w:val="single" w:sz="8" w:space="0" w:color="2E74B5"/>
          <w:bottom w:val="single" w:sz="8" w:space="0" w:color="2E74B5"/>
          <w:right w:val="single" w:sz="8" w:space="0" w:color="2E74B5"/>
          <w:insideH w:val="single" w:sz="8" w:space="0" w:color="2E74B5"/>
          <w:insideV w:val="single" w:sz="8" w:space="0" w:color="2E74B5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2E74B5"/>
                <w:sz w:val="18"/>
                <w:lang w:val="ru-RU"/>
              </w:rPr>
              <w:t xml:space="preserve">ДЛЯ НЕЗАВИСИМЫХ M И V  </w:t>
            </w:r>
            <w:r>
              <w:rPr>
                <w:rFonts w:ascii="Cambria Math" w:hAnsi="Cambria Math" w:eastAsia="Cambria Math" w:cs="Cambria Math"/>
                <w:b/>
                <w:color w:val="0B2545"/>
                <w:sz w:val="24"/>
                <w:lang w:val="ru-RU"/>
              </w:rPr>
              <w:t>uᵣ(ρ) ≈ √[(u(m)/m)² + (u(V)/V)²]</w:t>
            </w:r>
          </w:p>
        </w:tc>
      </w:tr>
    </w:tbl>
    <w:p>
      <w:pPr>
        <w:spacing w:after="4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16979A"/>
          <w:left w:val="single" w:sz="8" w:space="0" w:color="16979A"/>
          <w:bottom w:val="single" w:sz="8" w:space="0" w:color="16979A"/>
          <w:right w:val="single" w:sz="8" w:space="0" w:color="16979A"/>
          <w:insideH w:val="single" w:sz="8" w:space="0" w:color="16979A"/>
          <w:insideV w:val="single" w:sz="8" w:space="0" w:color="16979A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16979A"/>
                <w:sz w:val="18"/>
                <w:lang w:val="ru-RU"/>
              </w:rPr>
              <w:t xml:space="preserve">ПРИ КОРРЕЛЯЦИИ  </w:t>
            </w:r>
            <w:r>
              <w:rPr>
                <w:rFonts w:ascii="Cambria Math" w:hAnsi="Cambria Math" w:eastAsia="Cambria Math" w:cs="Cambria Math"/>
                <w:b/>
                <w:color w:val="0B2545"/>
                <w:sz w:val="24"/>
                <w:lang w:val="ru-RU"/>
              </w:rPr>
              <w:t>u²(y) = Σᵢ cᵢ²u²(xᵢ) + 2Σᵢ&lt;ⱼ cᵢcⱼu(xᵢ,xⱼ),   cᵢ = ∂f/∂xᵢ</w:t>
            </w:r>
          </w:p>
        </w:tc>
      </w:tr>
    </w:tbl>
    <w:p>
      <w:pPr>
        <w:spacing w:after="40"/>
      </w:pPr>
    </w:p>
    <w:p>
      <w:pPr>
        <w:keepNext w:val="0"/>
      </w:pPr>
      <w:r>
        <w:rPr>
          <w:rFonts w:ascii="Calibri" w:hAnsi="Calibri" w:eastAsia="Calibri" w:cs="Calibri"/>
          <w:color w:val="172B3A"/>
          <w:lang w:val="ru-RU"/>
        </w:rPr>
        <w:t>Если масса и объём зависят от общей температуры, общей геометрической модели или одной процедуры подготовки, ковариационные члены нельзя автоматически обнулять. Для нелинейных моделей и асимметричных распределений применяются численные методы распространения распределений и анализ чувствительности.</w:t>
      </w:r>
    </w:p>
    <w:p>
      <w:pPr>
        <w:pStyle w:val="Heading2"/>
      </w:pPr>
      <w:r>
        <w:t>Минимальный бюджет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повторяемость и воспроизводимость; разрешение и дрейф средства измерений;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калибровка, эталон и интерполяция; влияние температуры, давления, влажности и вибрации;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отбор проб, неоднородность и геометрия объекта; модель, программное обеспечение и округление;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потери данных, выбор окна, фильтрация и критерии исключения наблюдений.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A97817"/>
          <w:left w:val="single" w:sz="8" w:space="0" w:color="A97817"/>
          <w:bottom w:val="single" w:sz="8" w:space="0" w:color="A97817"/>
          <w:right w:val="single" w:sz="8" w:space="0" w:color="A97817"/>
          <w:insideH w:val="single" w:sz="8" w:space="0" w:color="A97817"/>
          <w:insideV w:val="single" w:sz="8" w:space="0" w:color="A97817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FFF7E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A97817"/>
                <w:sz w:val="18"/>
                <w:lang w:val="ru-RU"/>
              </w:rPr>
              <w:t xml:space="preserve">ЗАПРЕТ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Нельзя объявлять «квантовое преимущество» по уменьшению шумов на одном участке тракта, если полная неопределённость результата не уменьшилась.</w:t>
            </w:r>
          </w:p>
        </w:tc>
      </w:tr>
    </w:tbl>
    <w:p>
      <w:pPr>
        <w:spacing w:after="40"/>
      </w:pPr>
    </w:p>
    <w:p>
      <w:pPr>
        <w:pStyle w:val="Heading1"/>
        <w:pageBreakBefore/>
      </w:pPr>
      <w:r>
        <w:rPr>
          <w:rFonts w:ascii="Calibri" w:hAnsi="Calibri" w:eastAsia="Calibri" w:cs="Calibri"/>
          <w:b/>
          <w:color w:val="A97817"/>
          <w:sz w:val="18"/>
          <w:lang w:val="ru-RU"/>
        </w:rPr>
        <w:t xml:space="preserve">КАЧЕСТВО  /  </w:t>
      </w:r>
      <w:r>
        <w:rPr>
          <w:rFonts w:ascii="Calibri" w:hAnsi="Calibri" w:eastAsia="Calibri" w:cs="Calibri"/>
          <w:b/>
          <w:color w:val="2E74B5"/>
          <w:sz w:val="32"/>
          <w:lang w:val="ru-RU"/>
        </w:rPr>
        <w:t>Прослеживаемость, сопоставимость и доверие</w:t>
      </w:r>
    </w:p>
    <w:p>
      <w:pPr>
        <w:keepNext w:val="0"/>
      </w:pPr>
      <w:r>
        <w:rPr>
          <w:rFonts w:ascii="Calibri" w:hAnsi="Calibri" w:eastAsia="Calibri" w:cs="Calibri"/>
          <w:color w:val="172B3A"/>
          <w:lang w:val="ru-RU"/>
        </w:rPr>
        <w:t>Метрологическая прослеживаемость связывает результат с признанной опорой через документированную непрерывную цепь калибровок, каждая из которых вносит вклад в неопределённость. Это свойство результата, а не прибора само по себе.</w:t>
      </w:r>
    </w:p>
    <w:p>
      <w:pPr>
        <w:pStyle w:val="Heading2"/>
      </w:pPr>
      <w:r>
        <w:t>Цепь доверия</w:t>
      </w:r>
    </w:p>
    <w:p>
      <w:pPr>
        <w:pStyle w:val="KRPIList"/>
        <w:numPr>
          <w:ilvl w:val="0"/>
          <w:numId w:val="13"/>
        </w:numPr>
      </w:pPr>
      <w:r>
        <w:rPr>
          <w:rFonts w:ascii="Calibri" w:hAnsi="Calibri" w:eastAsia="Calibri" w:cs="Calibri"/>
          <w:color w:val="172B3A"/>
          <w:lang w:val="ru-RU"/>
        </w:rPr>
        <w:t>Определение единицы SI через фиксированные константы и реализующие первичные эталоны.</w:t>
      </w:r>
    </w:p>
    <w:p>
      <w:pPr>
        <w:pStyle w:val="KRPIList"/>
        <w:numPr>
          <w:ilvl w:val="0"/>
          <w:numId w:val="13"/>
        </w:numPr>
      </w:pPr>
      <w:r>
        <w:rPr>
          <w:rFonts w:ascii="Calibri" w:hAnsi="Calibri" w:eastAsia="Calibri" w:cs="Calibri"/>
          <w:color w:val="172B3A"/>
          <w:lang w:val="ru-RU"/>
        </w:rPr>
        <w:t>Национальный или иной признанный эталон; результаты сравнений и заявленные калибровочные возможности.</w:t>
      </w:r>
    </w:p>
    <w:p>
      <w:pPr>
        <w:pStyle w:val="KRPIList"/>
        <w:numPr>
          <w:ilvl w:val="0"/>
          <w:numId w:val="13"/>
        </w:numPr>
      </w:pPr>
      <w:r>
        <w:rPr>
          <w:rFonts w:ascii="Calibri" w:hAnsi="Calibri" w:eastAsia="Calibri" w:cs="Calibri"/>
          <w:color w:val="172B3A"/>
          <w:lang w:val="ru-RU"/>
        </w:rPr>
        <w:t>Аккредитованная калибровка с методом, условиями и неопределённостью.</w:t>
      </w:r>
    </w:p>
    <w:p>
      <w:pPr>
        <w:pStyle w:val="KRPIList"/>
        <w:numPr>
          <w:ilvl w:val="0"/>
          <w:numId w:val="13"/>
        </w:numPr>
      </w:pPr>
      <w:r>
        <w:rPr>
          <w:rFonts w:ascii="Calibri" w:hAnsi="Calibri" w:eastAsia="Calibri" w:cs="Calibri"/>
          <w:color w:val="172B3A"/>
          <w:lang w:val="ru-RU"/>
        </w:rPr>
        <w:t>Рабочее средство измерений, контроль дрейфа, промежуточные проверки и журнал обслуживания.</w:t>
      </w:r>
    </w:p>
    <w:p>
      <w:pPr>
        <w:pStyle w:val="KRPIList"/>
        <w:numPr>
          <w:ilvl w:val="0"/>
          <w:numId w:val="13"/>
        </w:numPr>
      </w:pPr>
      <w:r>
        <w:rPr>
          <w:rFonts w:ascii="Calibri" w:hAnsi="Calibri" w:eastAsia="Calibri" w:cs="Calibri"/>
          <w:color w:val="172B3A"/>
          <w:lang w:val="ru-RU"/>
        </w:rPr>
        <w:t>Паспорт результата с доказательствами, версией вычислений и решением о пригодности.</w:t>
      </w:r>
    </w:p>
    <w:p>
      <w:pPr>
        <w:pStyle w:val="KRPICaption"/>
        <w:keepNext/>
      </w:pPr>
      <w:r>
        <w:t>Таблица 4 — Четыре разных механизма качества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FD8E3"/>
          <w:left w:val="single" w:sz="6" w:space="0" w:color="CFD8E3"/>
          <w:bottom w:val="single" w:sz="6" w:space="0" w:color="CFD8E3"/>
          <w:right w:val="single" w:sz="6" w:space="0" w:color="CFD8E3"/>
          <w:insideH w:val="single" w:sz="6" w:space="0" w:color="CFD8E3"/>
          <w:insideV w:val="single" w:sz="6" w:space="0" w:color="CFD8E3"/>
        </w:tblBorders>
      </w:tblPr>
      <w:tblGrid>
        <w:gridCol w:w="1900"/>
        <w:gridCol w:w="3400"/>
        <w:gridCol w:w="4060"/>
      </w:tblGrid>
      <w:tr>
        <w:trPr>
          <w:tblHeader w:val="true"/>
          <w:cantSplit/>
        </w:trPr>
        <w:tc>
          <w:tcPr>
            <w:tcW w:type="dxa" w:w="1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7"/>
                <w:lang w:val="ru-RU"/>
              </w:rPr>
              <w:t>Механизм</w:t>
            </w:r>
          </w:p>
        </w:tc>
        <w:tc>
          <w:tcPr>
            <w:tcW w:type="dxa" w:w="34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7"/>
                <w:lang w:val="ru-RU"/>
              </w:rPr>
              <w:t>Что подтверждает</w:t>
            </w:r>
          </w:p>
        </w:tc>
        <w:tc>
          <w:tcPr>
            <w:tcW w:type="dxa" w:w="40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7"/>
                <w:lang w:val="ru-RU"/>
              </w:rPr>
              <w:t>Чего сам по себе не подтверждает</w:t>
            </w:r>
          </w:p>
        </w:tc>
      </w:tr>
      <w:tr>
        <w:trPr>
          <w:cantSplit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7"/>
                <w:lang w:val="ru-RU"/>
              </w:rPr>
              <w:t>ISO/IEC 17025</w:t>
            </w:r>
          </w:p>
        </w:tc>
        <w:tc>
          <w:tcPr>
            <w:tcW w:type="dxa" w:w="3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Компетентность лаборатории и согласованность процессов</w:t>
            </w:r>
          </w:p>
        </w:tc>
        <w:tc>
          <w:tcPr>
            <w:tcW w:type="dxa" w:w="4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Истинность любого отдельного результата вне области</w:t>
            </w:r>
          </w:p>
        </w:tc>
      </w:tr>
      <w:tr>
        <w:trPr>
          <w:cantSplit/>
        </w:trPr>
        <w:tc>
          <w:tcPr>
            <w:tcW w:type="dxa" w:w="19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7"/>
                <w:lang w:val="ru-RU"/>
              </w:rPr>
              <w:t>ILAC P10</w:t>
            </w:r>
          </w:p>
        </w:tc>
        <w:tc>
          <w:tcPr>
            <w:tcW w:type="dxa" w:w="34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Политику прослеживаемости результатов в аккредитации</w:t>
            </w:r>
          </w:p>
        </w:tc>
        <w:tc>
          <w:tcPr>
            <w:tcW w:type="dxa" w:w="406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Автоматическое признание проектной методики</w:t>
            </w:r>
          </w:p>
        </w:tc>
      </w:tr>
      <w:tr>
        <w:trPr>
          <w:cantSplit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7"/>
                <w:lang w:val="ru-RU"/>
              </w:rPr>
              <w:t>CIPM MRA</w:t>
            </w:r>
          </w:p>
        </w:tc>
        <w:tc>
          <w:tcPr>
            <w:tcW w:type="dxa" w:w="3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Международную сопоставимость эталонов и возможностей НМИ</w:t>
            </w:r>
          </w:p>
        </w:tc>
        <w:tc>
          <w:tcPr>
            <w:tcW w:type="dxa" w:w="4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Сертификацию продукта</w:t>
            </w:r>
          </w:p>
        </w:tc>
      </w:tr>
      <w:tr>
        <w:trPr>
          <w:cantSplit/>
        </w:trPr>
        <w:tc>
          <w:tcPr>
            <w:tcW w:type="dxa" w:w="19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7"/>
                <w:lang w:val="ru-RU"/>
              </w:rPr>
              <w:t>Межлабораторное сравнение</w:t>
            </w:r>
          </w:p>
        </w:tc>
        <w:tc>
          <w:tcPr>
            <w:tcW w:type="dxa" w:w="34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Сопоставимость конкретной методики и диапазона</w:t>
            </w:r>
          </w:p>
        </w:tc>
        <w:tc>
          <w:tcPr>
            <w:tcW w:type="dxa" w:w="406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Универсальность за пределами проверенных условий</w:t>
            </w:r>
          </w:p>
        </w:tc>
      </w:tr>
    </w:tbl>
    <w:p>
      <w:pPr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A97817"/>
          <w:left w:val="single" w:sz="8" w:space="0" w:color="A97817"/>
          <w:bottom w:val="single" w:sz="8" w:space="0" w:color="A97817"/>
          <w:right w:val="single" w:sz="8" w:space="0" w:color="A97817"/>
          <w:insideH w:val="single" w:sz="8" w:space="0" w:color="A97817"/>
          <w:insideV w:val="single" w:sz="8" w:space="0" w:color="A97817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FFF7E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A97817"/>
                <w:sz w:val="18"/>
                <w:lang w:val="ru-RU"/>
              </w:rPr>
              <w:t xml:space="preserve">ОГОВОРКА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Ссылки на BIPM, JCGM, NIST, ISO, ILAC и CIPM MRA являются методическими опорами и не означают одобрение или сертификацию проекта этими организациями.</w:t>
            </w:r>
          </w:p>
        </w:tc>
      </w:tr>
    </w:tbl>
    <w:p>
      <w:pPr>
        <w:spacing w:after="40"/>
      </w:pPr>
    </w:p>
    <w:p>
      <w:pPr>
        <w:pStyle w:val="Heading1"/>
        <w:pageBreakBefore/>
      </w:pPr>
      <w:r>
        <w:rPr>
          <w:rFonts w:ascii="Calibri" w:hAnsi="Calibri" w:eastAsia="Calibri" w:cs="Calibri"/>
          <w:b/>
          <w:color w:val="A97817"/>
          <w:sz w:val="18"/>
          <w:lang w:val="ru-RU"/>
        </w:rPr>
        <w:t xml:space="preserve">ТЕХНОЛОГИЯ  /  </w:t>
      </w:r>
      <w:r>
        <w:rPr>
          <w:rFonts w:ascii="Calibri" w:hAnsi="Calibri" w:eastAsia="Calibri" w:cs="Calibri"/>
          <w:b/>
          <w:color w:val="2E74B5"/>
          <w:sz w:val="32"/>
          <w:lang w:val="ru-RU"/>
        </w:rPr>
        <w:t>Где квантовый ресурс действительно помогает</w:t>
      </w:r>
    </w:p>
    <w:p>
      <w:pPr>
        <w:keepNext w:val="0"/>
      </w:pPr>
      <w:r>
        <w:rPr>
          <w:rFonts w:ascii="Calibri" w:hAnsi="Calibri" w:eastAsia="Calibri" w:cs="Calibri"/>
          <w:color w:val="172B3A"/>
          <w:lang w:val="ru-RU"/>
        </w:rPr>
        <w:t>Квантовая метрология использует управляемые квантовые состояния для оценки параметров. Потенциальный выигрыш возникает в конкретной архитектуре: более узкая спектральная линия, интерференционная чувствительность к фазе, коррелированный коллективный отклик, счёт фотонов или связь частоты с атомным переходом.</w:t>
      </w:r>
    </w:p>
    <w:p>
      <w:pPr>
        <w:pStyle w:val="KRPICaption"/>
        <w:keepNext/>
      </w:pPr>
      <w:r>
        <w:t>Таблица 5 — Ресурс, измеряемая величина и ограничение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FD8E3"/>
          <w:left w:val="single" w:sz="6" w:space="0" w:color="CFD8E3"/>
          <w:bottom w:val="single" w:sz="6" w:space="0" w:color="CFD8E3"/>
          <w:right w:val="single" w:sz="6" w:space="0" w:color="CFD8E3"/>
          <w:insideH w:val="single" w:sz="6" w:space="0" w:color="CFD8E3"/>
          <w:insideV w:val="single" w:sz="6" w:space="0" w:color="CFD8E3"/>
        </w:tblBorders>
      </w:tblPr>
      <w:tblGrid>
        <w:gridCol w:w="2000"/>
        <w:gridCol w:w="2000"/>
        <w:gridCol w:w="2540"/>
        <w:gridCol w:w="2820"/>
      </w:tblGrid>
      <w:tr>
        <w:trPr>
          <w:tblHeader w:val="true"/>
          <w:cantSplit/>
        </w:trPr>
        <w:tc>
          <w:tcPr>
            <w:tcW w:type="dxa" w:w="20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6"/>
                <w:lang w:val="ru-RU"/>
              </w:rPr>
              <w:t>Квантовый ресурс</w:t>
            </w:r>
          </w:p>
        </w:tc>
        <w:tc>
          <w:tcPr>
            <w:tcW w:type="dxa" w:w="20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6"/>
                <w:lang w:val="ru-RU"/>
              </w:rPr>
              <w:t>Пример величины</w:t>
            </w:r>
          </w:p>
        </w:tc>
        <w:tc>
          <w:tcPr>
            <w:tcW w:type="dxa" w:w="254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6"/>
                <w:lang w:val="ru-RU"/>
              </w:rPr>
              <w:t>Проверяемый выигрыш</w:t>
            </w:r>
          </w:p>
        </w:tc>
        <w:tc>
          <w:tcPr>
            <w:tcW w:type="dxa" w:w="282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6"/>
                <w:lang w:val="ru-RU"/>
              </w:rPr>
              <w:t>Практический предел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Атомный переход</w:t>
            </w:r>
          </w:p>
        </w:tc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частота/время</w:t>
            </w:r>
          </w:p>
        </w:tc>
        <w:tc>
          <w:tcPr>
            <w:tcW w:type="dxa" w:w="25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стабильность и точность часов</w:t>
            </w:r>
          </w:p>
        </w:tc>
        <w:tc>
          <w:tcPr>
            <w:tcW w:type="dxa" w:w="28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систематические сдвиги, сравнение и передача</w:t>
            </w:r>
          </w:p>
        </w:tc>
      </w:tr>
      <w:tr>
        <w:trPr>
          <w:cantSplit/>
        </w:trPr>
        <w:tc>
          <w:tcPr>
            <w:tcW w:type="dxa" w:w="20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Интерференция</w:t>
            </w:r>
          </w:p>
        </w:tc>
        <w:tc>
          <w:tcPr>
            <w:tcW w:type="dxa" w:w="20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фаза, ускорение, поле</w:t>
            </w:r>
          </w:p>
        </w:tc>
        <w:tc>
          <w:tcPr>
            <w:tcW w:type="dxa" w:w="254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чувствительность к малому сдвигу</w:t>
            </w:r>
          </w:p>
        </w:tc>
        <w:tc>
          <w:tcPr>
            <w:tcW w:type="dxa" w:w="282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контраст, вибрация, мёртвое время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Спин-сжатие/запутанность</w:t>
            </w:r>
          </w:p>
        </w:tc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фаза коллективного спина</w:t>
            </w:r>
          </w:p>
        </w:tc>
        <w:tc>
          <w:tcPr>
            <w:tcW w:type="dxa" w:w="25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шум ниже стандартного квантового предела</w:t>
            </w:r>
          </w:p>
        </w:tc>
        <w:tc>
          <w:tcPr>
            <w:tcW w:type="dxa" w:w="28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декогеренция, потери, чтение</w:t>
            </w:r>
          </w:p>
        </w:tc>
      </w:tr>
      <w:tr>
        <w:trPr>
          <w:cantSplit/>
        </w:trPr>
        <w:tc>
          <w:tcPr>
            <w:tcW w:type="dxa" w:w="20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Счёт квантов</w:t>
            </w:r>
          </w:p>
        </w:tc>
        <w:tc>
          <w:tcPr>
            <w:tcW w:type="dxa" w:w="20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оптический поток/спектр</w:t>
            </w:r>
          </w:p>
        </w:tc>
        <w:tc>
          <w:tcPr>
            <w:tcW w:type="dxa" w:w="254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низкий предел обнаружения</w:t>
            </w:r>
          </w:p>
        </w:tc>
        <w:tc>
          <w:tcPr>
            <w:tcW w:type="dxa" w:w="282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тёмные события, эффективность и фон</w:t>
            </w:r>
          </w:p>
        </w:tc>
      </w:tr>
    </w:tbl>
    <w:p>
      <w:pPr>
        <w:spacing w:before="0" w:after="80"/>
      </w:pPr>
    </w:p>
    <w:p>
      <w:pPr>
        <w:keepNext w:val="0"/>
      </w:pPr>
      <w:r>
        <w:rPr>
          <w:rFonts w:ascii="Calibri" w:hAnsi="Calibri" w:eastAsia="Calibri" w:cs="Calibri"/>
          <w:color w:val="172B3A"/>
          <w:lang w:val="ru-RU"/>
        </w:rPr>
        <w:t>Публикации NIST демонстрируют квантово-усиленное измерение в контролируемых установках. Например, в эксперименте с большим кристаллом ионов заявлены 8,8 ± 0,4 dB ниже стандартного квантового предела и чувствительность к электрическому полю 240 ± 10 nV/m/√Hz. Это сильный лабораторный результат, но не обещание такой же характеристики в любом полевом приборе.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Сравнивать следует полный результат одного и того же measurand, а не только внутренний шум датчика.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Идеальные пределы масштабирования не переносятся в эксплуатацию без учёта потерь, времени подготовки и считывания.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Классический тракт остаётся обязательным как контроль, резерв и средство обнаружения дрейфа.</w:t>
      </w:r>
    </w:p>
    <w:p>
      <w:pPr>
        <w:pStyle w:val="Heading1"/>
        <w:pageBreakBefore/>
      </w:pPr>
      <w:r>
        <w:rPr>
          <w:rFonts w:ascii="Calibri" w:hAnsi="Calibri" w:eastAsia="Calibri" w:cs="Calibri"/>
          <w:b/>
          <w:color w:val="A97817"/>
          <w:sz w:val="18"/>
          <w:lang w:val="ru-RU"/>
        </w:rPr>
        <w:t xml:space="preserve">ВЕРИФИКАЦИЯ  /  </w:t>
      </w:r>
      <w:r>
        <w:rPr>
          <w:rFonts w:ascii="Calibri" w:hAnsi="Calibri" w:eastAsia="Calibri" w:cs="Calibri"/>
          <w:b/>
          <w:color w:val="2E74B5"/>
          <w:sz w:val="32"/>
          <w:lang w:val="ru-RU"/>
        </w:rPr>
        <w:t>Уровни доказательности E0–E4</w:t>
      </w:r>
    </w:p>
    <w:p>
      <w:pPr>
        <w:pStyle w:val="KRPICaption"/>
        <w:keepNext/>
      </w:pPr>
      <w:r>
        <w:t>Таблица 6 — Лестница от образа к эксплуатационному результату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FD8E3"/>
          <w:left w:val="single" w:sz="6" w:space="0" w:color="CFD8E3"/>
          <w:bottom w:val="single" w:sz="6" w:space="0" w:color="CFD8E3"/>
          <w:right w:val="single" w:sz="6" w:space="0" w:color="CFD8E3"/>
          <w:insideH w:val="single" w:sz="6" w:space="0" w:color="CFD8E3"/>
          <w:insideV w:val="single" w:sz="6" w:space="0" w:color="CFD8E3"/>
        </w:tblBorders>
      </w:tblPr>
      <w:tblGrid>
        <w:gridCol w:w="1150"/>
        <w:gridCol w:w="1750"/>
        <w:gridCol w:w="3660"/>
        <w:gridCol w:w="2800"/>
      </w:tblGrid>
      <w:tr>
        <w:trPr>
          <w:tblHeader w:val="true"/>
          <w:cantSplit/>
        </w:trPr>
        <w:tc>
          <w:tcPr>
            <w:tcW w:type="dxa" w:w="11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7"/>
                <w:lang w:val="ru-RU"/>
              </w:rPr>
              <w:t>Уровень</w:t>
            </w:r>
          </w:p>
        </w:tc>
        <w:tc>
          <w:tcPr>
            <w:tcW w:type="dxa" w:w="17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7"/>
                <w:lang w:val="ru-RU"/>
              </w:rPr>
              <w:t>Статус</w:t>
            </w:r>
          </w:p>
        </w:tc>
        <w:tc>
          <w:tcPr>
            <w:tcW w:type="dxa" w:w="36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7"/>
                <w:lang w:val="ru-RU"/>
              </w:rPr>
              <w:t>Что разрешено утверждать</w:t>
            </w:r>
          </w:p>
        </w:tc>
        <w:tc>
          <w:tcPr>
            <w:tcW w:type="dxa" w:w="28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7"/>
                <w:lang w:val="ru-RU"/>
              </w:rPr>
              <w:t>Что требуется дальше</w:t>
            </w:r>
          </w:p>
        </w:tc>
      </w:tr>
      <w:tr>
        <w:trPr>
          <w:cantSplit/>
        </w:trPr>
        <w:tc>
          <w:tcPr>
            <w:tcW w:type="dxa" w:w="1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E0</w:t>
            </w:r>
          </w:p>
        </w:tc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Символ / метафора</w:t>
            </w:r>
          </w:p>
        </w:tc>
        <w:tc>
          <w:tcPr>
            <w:tcW w:type="dxa" w:w="3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Образ помогает поставить вопрос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Не выдавать за описание природы</w:t>
            </w:r>
          </w:p>
        </w:tc>
      </w:tr>
      <w:tr>
        <w:trPr>
          <w:cantSplit/>
        </w:trPr>
        <w:tc>
          <w:tcPr>
            <w:tcW w:type="dxa" w:w="115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E1</w:t>
            </w:r>
          </w:p>
        </w:tc>
        <w:tc>
          <w:tcPr>
            <w:tcW w:type="dxa" w:w="175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Гипотеза / модель</w:t>
            </w:r>
          </w:p>
        </w:tc>
        <w:tc>
          <w:tcPr>
            <w:tcW w:type="dxa" w:w="366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Есть определение, механизм и опровержимый прогноз</w:t>
            </w:r>
          </w:p>
        </w:tc>
        <w:tc>
          <w:tcPr>
            <w:tcW w:type="dxa" w:w="28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Протокол и базовая линия</w:t>
            </w:r>
          </w:p>
        </w:tc>
      </w:tr>
      <w:tr>
        <w:trPr>
          <w:cantSplit/>
        </w:trPr>
        <w:tc>
          <w:tcPr>
            <w:tcW w:type="dxa" w:w="1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E2</w:t>
            </w:r>
          </w:p>
        </w:tc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Лабораторное наблюдение</w:t>
            </w:r>
          </w:p>
        </w:tc>
        <w:tc>
          <w:tcPr>
            <w:tcW w:type="dxa" w:w="3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Эффект получен в заявленных условиях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Повторяемость, полный бюджет</w:t>
            </w:r>
          </w:p>
        </w:tc>
      </w:tr>
      <w:tr>
        <w:trPr>
          <w:cantSplit/>
        </w:trPr>
        <w:tc>
          <w:tcPr>
            <w:tcW w:type="dxa" w:w="115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E3</w:t>
            </w:r>
          </w:p>
        </w:tc>
        <w:tc>
          <w:tcPr>
            <w:tcW w:type="dxa" w:w="175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Независимое подтверждение</w:t>
            </w:r>
          </w:p>
        </w:tc>
        <w:tc>
          <w:tcPr>
            <w:tcW w:type="dxa" w:w="366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Есть воспроизведение или межлабораторная сопоставимость</w:t>
            </w:r>
          </w:p>
        </w:tc>
        <w:tc>
          <w:tcPr>
            <w:tcW w:type="dxa" w:w="28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Полевой пилот и оценка жизненного цикла</w:t>
            </w:r>
          </w:p>
        </w:tc>
      </w:tr>
      <w:tr>
        <w:trPr>
          <w:cantSplit/>
        </w:trPr>
        <w:tc>
          <w:tcPr>
            <w:tcW w:type="dxa" w:w="1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E4</w:t>
            </w:r>
          </w:p>
        </w:tc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Валидированный результат</w:t>
            </w:r>
          </w:p>
        </w:tc>
        <w:tc>
          <w:tcPr>
            <w:tcW w:type="dxa" w:w="3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Метод пригоден в заявленной области эксплуатации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Надзор, контроль дрейфа и пересмотр</w:t>
            </w:r>
          </w:p>
        </w:tc>
      </w:tr>
    </w:tbl>
    <w:p>
      <w:pPr>
        <w:spacing w:before="0" w:after="80"/>
      </w:pPr>
    </w:p>
    <w:p>
      <w:pPr>
        <w:pStyle w:val="Heading2"/>
      </w:pPr>
      <w:r>
        <w:t>Шлюз «рывок подтверждён»</w:t>
      </w:r>
    </w:p>
    <w:p>
      <w:pPr>
        <w:pStyle w:val="KRPIList"/>
        <w:numPr>
          <w:ilvl w:val="0"/>
          <w:numId w:val="14"/>
        </w:numPr>
      </w:pPr>
      <w:r>
        <w:rPr>
          <w:rFonts w:ascii="Calibri" w:hAnsi="Calibri" w:eastAsia="Calibri" w:cs="Calibri"/>
          <w:color w:val="172B3A"/>
          <w:lang w:val="ru-RU"/>
        </w:rPr>
        <w:t>База сравнения и критерий успеха опубликованы до анализа итогов.</w:t>
      </w:r>
    </w:p>
    <w:p>
      <w:pPr>
        <w:pStyle w:val="KRPIList"/>
        <w:numPr>
          <w:ilvl w:val="0"/>
          <w:numId w:val="14"/>
        </w:numPr>
      </w:pPr>
      <w:r>
        <w:rPr>
          <w:rFonts w:ascii="Calibri" w:hAnsi="Calibri" w:eastAsia="Calibri" w:cs="Calibri"/>
          <w:color w:val="172B3A"/>
          <w:lang w:val="ru-RU"/>
        </w:rPr>
        <w:t>Полная расширенная неопределённость или предел обнаружения улучшены в заданном диапазоне.</w:t>
      </w:r>
    </w:p>
    <w:p>
      <w:pPr>
        <w:pStyle w:val="KRPIList"/>
        <w:numPr>
          <w:ilvl w:val="0"/>
          <w:numId w:val="14"/>
        </w:numPr>
      </w:pPr>
      <w:r>
        <w:rPr>
          <w:rFonts w:ascii="Calibri" w:hAnsi="Calibri" w:eastAsia="Calibri" w:cs="Calibri"/>
          <w:color w:val="172B3A"/>
          <w:lang w:val="ru-RU"/>
        </w:rPr>
        <w:t>Прослеживаемость, целостность данных и воспроизводимость не ухудшены.</w:t>
      </w:r>
    </w:p>
    <w:p>
      <w:pPr>
        <w:pStyle w:val="KRPIList"/>
        <w:numPr>
          <w:ilvl w:val="0"/>
          <w:numId w:val="14"/>
        </w:numPr>
      </w:pPr>
      <w:r>
        <w:rPr>
          <w:rFonts w:ascii="Calibri" w:hAnsi="Calibri" w:eastAsia="Calibri" w:cs="Calibri"/>
          <w:color w:val="172B3A"/>
          <w:lang w:val="ru-RU"/>
        </w:rPr>
        <w:t>Независимая проверка достигла заранее согласованных критериев.</w:t>
      </w:r>
    </w:p>
    <w:p>
      <w:pPr>
        <w:pStyle w:val="KRPIList"/>
        <w:numPr>
          <w:ilvl w:val="0"/>
          <w:numId w:val="14"/>
        </w:numPr>
      </w:pPr>
      <w:r>
        <w:rPr>
          <w:rFonts w:ascii="Calibri" w:hAnsi="Calibri" w:eastAsia="Calibri" w:cs="Calibri"/>
          <w:color w:val="172B3A"/>
          <w:lang w:val="ru-RU"/>
        </w:rPr>
        <w:t>Решение прошло оценку безопасности, прав, экологической нагрузки и стоимости владения.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16979A"/>
          <w:left w:val="single" w:sz="8" w:space="0" w:color="16979A"/>
          <w:bottom w:val="single" w:sz="8" w:space="0" w:color="16979A"/>
          <w:right w:val="single" w:sz="8" w:space="0" w:color="16979A"/>
          <w:insideH w:val="single" w:sz="8" w:space="0" w:color="16979A"/>
          <w:insideV w:val="single" w:sz="8" w:space="0" w:color="16979A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16979A"/>
                <w:sz w:val="18"/>
                <w:lang w:val="ru-RU"/>
              </w:rPr>
              <w:t xml:space="preserve">НАУЧНАЯ ГРАНИЦА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E0 и E1 ценны как пространство смысла и поиска. Но только E3–E4 дают основание для масштабирования критического измерения; уровень доказательности хранится в каждой записи и не повышается редакционным решением без новых данных.</w:t>
            </w:r>
          </w:p>
        </w:tc>
      </w:tr>
    </w:tbl>
    <w:p>
      <w:pPr>
        <w:spacing w:after="40"/>
      </w:pPr>
    </w:p>
    <w:p>
      <w:pPr>
        <w:pStyle w:val="Heading1"/>
        <w:pageBreakBefore/>
      </w:pPr>
      <w:r>
        <w:rPr>
          <w:rFonts w:ascii="Calibri" w:hAnsi="Calibri" w:eastAsia="Calibri" w:cs="Calibri"/>
          <w:b/>
          <w:color w:val="A97817"/>
          <w:sz w:val="18"/>
          <w:lang w:val="ru-RU"/>
        </w:rPr>
        <w:t xml:space="preserve">СТАНДАРТ ПРОЕКТА  /  </w:t>
      </w:r>
      <w:r>
        <w:rPr>
          <w:rFonts w:ascii="Calibri" w:hAnsi="Calibri" w:eastAsia="Calibri" w:cs="Calibri"/>
          <w:b/>
          <w:color w:val="2E74B5"/>
          <w:sz w:val="32"/>
          <w:lang w:val="ru-RU"/>
        </w:rPr>
        <w:t>Единый паспорт измерения</w:t>
      </w:r>
    </w:p>
    <w:p>
      <w:pPr>
        <w:keepNext w:val="0"/>
      </w:pPr>
      <w:r>
        <w:rPr>
          <w:rFonts w:ascii="Calibri" w:hAnsi="Calibri" w:eastAsia="Calibri" w:cs="Calibri"/>
          <w:color w:val="172B3A"/>
          <w:lang w:val="ru-RU"/>
        </w:rPr>
        <w:t>Паспорт — минимальная единица обмена между лабораторией, вычислительным GRID, управленческой системой и Архивом наследия. Поле может быть пустым только с явной причиной; критические поля блокируют публикацию.</w:t>
      </w:r>
    </w:p>
    <w:p>
      <w:pPr>
        <w:pStyle w:val="KRPICaption"/>
        <w:keepNext/>
      </w:pPr>
      <w:r>
        <w:t>Таблица 7 — Обязательные поля паспорта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FD8E3"/>
          <w:left w:val="single" w:sz="6" w:space="0" w:color="CFD8E3"/>
          <w:bottom w:val="single" w:sz="6" w:space="0" w:color="CFD8E3"/>
          <w:right w:val="single" w:sz="6" w:space="0" w:color="CFD8E3"/>
          <w:insideH w:val="single" w:sz="6" w:space="0" w:color="CFD8E3"/>
          <w:insideV w:val="single" w:sz="6" w:space="0" w:color="CFD8E3"/>
        </w:tblBorders>
      </w:tblPr>
      <w:tblGrid>
        <w:gridCol w:w="2100"/>
        <w:gridCol w:w="7260"/>
      </w:tblGrid>
      <w:tr>
        <w:trPr>
          <w:tblHeader w:val="true"/>
          <w:cantSplit/>
        </w:trPr>
        <w:tc>
          <w:tcPr>
            <w:tcW w:type="dxa" w:w="21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6"/>
                <w:lang w:val="ru-RU"/>
              </w:rPr>
              <w:t>Блок</w:t>
            </w:r>
          </w:p>
        </w:tc>
        <w:tc>
          <w:tcPr>
            <w:tcW w:type="dxa" w:w="72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6"/>
                <w:lang w:val="ru-RU"/>
              </w:rPr>
              <w:t>Обязательные поля</w:t>
            </w:r>
          </w:p>
        </w:tc>
      </w:tr>
      <w:tr>
        <w:trPr>
          <w:cantSplit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Идентичность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measurement_uid; release_id; object_uid; event_uid; status</w:t>
            </w:r>
          </w:p>
        </w:tc>
      </w:tr>
      <w:tr>
        <w:trPr>
          <w:cantSplit/>
        </w:trPr>
        <w:tc>
          <w:tcPr>
            <w:tcW w:type="dxa" w:w="21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Измеряемая величина</w:t>
            </w:r>
          </w:p>
        </w:tc>
        <w:tc>
          <w:tcPr>
            <w:tcW w:type="dxa" w:w="726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measurand; definition; quantity_kind; dimension; unit</w:t>
            </w:r>
          </w:p>
        </w:tc>
      </w:tr>
      <w:tr>
        <w:trPr>
          <w:cantSplit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Объект и граница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object_type; spatial_boundary; averaging_domain; sample_rule</w:t>
            </w:r>
          </w:p>
        </w:tc>
      </w:tr>
      <w:tr>
        <w:trPr>
          <w:cantSplit/>
        </w:trPr>
        <w:tc>
          <w:tcPr>
            <w:tcW w:type="dxa" w:w="21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Время и условия</w:t>
            </w:r>
          </w:p>
        </w:tc>
        <w:tc>
          <w:tcPr>
            <w:tcW w:type="dxa" w:w="726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valid_time; system_time; temperature; pressure; environment</w:t>
            </w:r>
          </w:p>
        </w:tc>
      </w:tr>
      <w:tr>
        <w:trPr>
          <w:cantSplit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Метод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method_id@version; measurement_model; correction_model; software_hash</w:t>
            </w:r>
          </w:p>
        </w:tc>
      </w:tr>
      <w:tr>
        <w:trPr>
          <w:cantSplit/>
        </w:trPr>
        <w:tc>
          <w:tcPr>
            <w:tcW w:type="dxa" w:w="21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Оборудование</w:t>
            </w:r>
          </w:p>
        </w:tc>
        <w:tc>
          <w:tcPr>
            <w:tcW w:type="dxa" w:w="726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instrument_uid; configuration; calibration_ids; maintenance_state</w:t>
            </w:r>
          </w:p>
        </w:tc>
      </w:tr>
      <w:tr>
        <w:trPr>
          <w:cantSplit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Первичные данные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dataset_uid; format; checksum; completeness; exclusion_log</w:t>
            </w:r>
          </w:p>
        </w:tc>
      </w:tr>
      <w:tr>
        <w:trPr>
          <w:cantSplit/>
        </w:trPr>
        <w:tc>
          <w:tcPr>
            <w:tcW w:type="dxa" w:w="21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Результат</w:t>
            </w:r>
          </w:p>
        </w:tc>
        <w:tc>
          <w:tcPr>
            <w:tcW w:type="dxa" w:w="726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value; expanded_uncertainty; coverage; detection_limit; quality_flags</w:t>
            </w:r>
          </w:p>
        </w:tc>
      </w:tr>
      <w:tr>
        <w:trPr>
          <w:cantSplit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Неопределённость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budget_uid; components; distributions; covariance; sensitivity</w:t>
            </w:r>
          </w:p>
        </w:tc>
      </w:tr>
      <w:tr>
        <w:trPr>
          <w:cantSplit/>
        </w:trPr>
        <w:tc>
          <w:tcPr>
            <w:tcW w:type="dxa" w:w="21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Прослеживаемость</w:t>
            </w:r>
          </w:p>
        </w:tc>
        <w:tc>
          <w:tcPr>
            <w:tcW w:type="dxa" w:w="726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reference; unbroken_chain; calibration_uncertainties; validity</w:t>
            </w:r>
          </w:p>
        </w:tc>
      </w:tr>
      <w:tr>
        <w:trPr>
          <w:cantSplit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Доказательство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evidence_level E0–E4; verifier; intercomparison; review_status</w:t>
            </w:r>
          </w:p>
        </w:tc>
      </w:tr>
      <w:tr>
        <w:trPr>
          <w:cantSplit/>
        </w:trPr>
        <w:tc>
          <w:tcPr>
            <w:tcW w:type="dxa" w:w="21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Решение</w:t>
            </w:r>
          </w:p>
        </w:tc>
        <w:tc>
          <w:tcPr>
            <w:tcW w:type="dxa" w:w="726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fitness_for_use; range; prohibited_uses; decision_uid; approver</w:t>
            </w:r>
          </w:p>
        </w:tc>
      </w:tr>
      <w:tr>
        <w:trPr>
          <w:cantSplit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Права и этика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owner; access_class; purpose_limit; retention; consent/ethics</w:t>
            </w:r>
          </w:p>
        </w:tc>
      </w:tr>
      <w:tr>
        <w:trPr>
          <w:cantSplit/>
        </w:trPr>
        <w:tc>
          <w:tcPr>
            <w:tcW w:type="dxa" w:w="21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Происхождение</w:t>
            </w:r>
          </w:p>
        </w:tc>
        <w:tc>
          <w:tcPr>
            <w:tcW w:type="dxa" w:w="726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creator; agent; transformations; timestamps; signature; archive_uid</w:t>
            </w:r>
          </w:p>
        </w:tc>
      </w:tr>
    </w:tbl>
    <w:p>
      <w:pPr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A97817"/>
          <w:left w:val="single" w:sz="8" w:space="0" w:color="A97817"/>
          <w:bottom w:val="single" w:sz="8" w:space="0" w:color="A97817"/>
          <w:right w:val="single" w:sz="8" w:space="0" w:color="A97817"/>
          <w:insideH w:val="single" w:sz="8" w:space="0" w:color="A97817"/>
          <w:insideV w:val="single" w:sz="8" w:space="0" w:color="A97817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FFF7E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A97817"/>
                <w:sz w:val="18"/>
                <w:lang w:val="ru-RU"/>
              </w:rPr>
              <w:t xml:space="preserve">КОД ПРОФИЛЯ ОРИОН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OR22/IND/KRPI.MEASUREMENT@1.0; PRV фиксирует происхождение, RSK — неопределённость и риск, REC — архивную запись, RGT — права и срок хранения.</w:t>
            </w:r>
          </w:p>
        </w:tc>
      </w:tr>
    </w:tbl>
    <w:p>
      <w:pPr>
        <w:spacing w:after="40"/>
      </w:pPr>
    </w:p>
    <w:p>
      <w:pPr>
        <w:pStyle w:val="Heading1"/>
        <w:pageBreakBefore/>
      </w:pPr>
      <w:r>
        <w:rPr>
          <w:rFonts w:ascii="Calibri" w:hAnsi="Calibri" w:eastAsia="Calibri" w:cs="Calibri"/>
          <w:b/>
          <w:color w:val="A97817"/>
          <w:sz w:val="18"/>
          <w:lang w:val="ru-RU"/>
        </w:rPr>
        <w:t xml:space="preserve">CROSSWALK  /  </w:t>
      </w:r>
      <w:r>
        <w:rPr>
          <w:rFonts w:ascii="Calibri" w:hAnsi="Calibri" w:eastAsia="Calibri" w:cs="Calibri"/>
          <w:b/>
          <w:color w:val="2E74B5"/>
          <w:sz w:val="32"/>
          <w:lang w:val="ru-RU"/>
        </w:rPr>
        <w:t>Встраивание в Белую Книгу и модель 741</w:t>
      </w:r>
    </w:p>
    <w:p>
      <w:pPr>
        <w:keepNext w:val="0"/>
      </w:pPr>
      <w:r>
        <w:rPr>
          <w:rFonts w:ascii="Calibri" w:hAnsi="Calibri" w:eastAsia="Calibri" w:cs="Calibri"/>
          <w:color w:val="172B3A"/>
          <w:lang w:val="ru-RU"/>
        </w:rPr>
        <w:t>Выпуск является связанным объектом корпуса, а не перезаписью существующей онтологии. Одна экспериментальная запись может иметь несколько связей, но каждая связь указывает тип, версию, область и доказательство.</w:t>
      </w:r>
    </w:p>
    <w:p>
      <w:pPr>
        <w:pStyle w:val="KRPICaption"/>
        <w:keepNext/>
      </w:pPr>
      <w:r>
        <w:t>Таблица 8 — Приоритетные адреса BAL‑741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FD8E3"/>
          <w:left w:val="single" w:sz="6" w:space="0" w:color="CFD8E3"/>
          <w:bottom w:val="single" w:sz="6" w:space="0" w:color="CFD8E3"/>
          <w:right w:val="single" w:sz="6" w:space="0" w:color="CFD8E3"/>
          <w:insideH w:val="single" w:sz="6" w:space="0" w:color="CFD8E3"/>
          <w:insideV w:val="single" w:sz="6" w:space="0" w:color="CFD8E3"/>
        </w:tblBorders>
      </w:tblPr>
      <w:tblGrid>
        <w:gridCol w:w="2200"/>
        <w:gridCol w:w="4700"/>
        <w:gridCol w:w="2460"/>
      </w:tblGrid>
      <w:tr>
        <w:trPr>
          <w:tblHeader w:val="true"/>
          <w:cantSplit/>
        </w:trPr>
        <w:tc>
          <w:tcPr>
            <w:tcW w:type="dxa" w:w="22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6"/>
                <w:lang w:val="ru-RU"/>
              </w:rPr>
              <w:t>Код</w:t>
            </w:r>
          </w:p>
        </w:tc>
        <w:tc>
          <w:tcPr>
            <w:tcW w:type="dxa" w:w="47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6"/>
                <w:lang w:val="ru-RU"/>
              </w:rPr>
              <w:t>Контур решения</w:t>
            </w:r>
          </w:p>
        </w:tc>
        <w:tc>
          <w:tcPr>
            <w:tcW w:type="dxa" w:w="24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6"/>
                <w:lang w:val="ru-RU"/>
              </w:rPr>
              <w:t>Роль в выпуске</w:t>
            </w:r>
          </w:p>
        </w:tc>
      </w:tr>
      <w:tr>
        <w:trPr>
          <w:cantSplit/>
        </w:trP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BAL:C05:B10:S1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Наука и технологии × инновации—надёжность × объект/пилот</w:t>
            </w:r>
          </w:p>
        </w:tc>
        <w:tc>
          <w:tcPr>
            <w:tcW w:type="dxa" w:w="2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Основная ячейка научного пилота</w:t>
            </w:r>
          </w:p>
        </w:tc>
      </w:tr>
      <w:tr>
        <w:trPr>
          <w:cantSplit/>
        </w:trPr>
        <w:tc>
          <w:tcPr>
            <w:tcW w:type="dxa" w:w="22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BAL:C13:B11:S2</w:t>
            </w:r>
          </w:p>
        </w:tc>
        <w:tc>
          <w:tcPr>
            <w:tcW w:type="dxa" w:w="47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Данные и ИИ × цифровая эффективность—суверенитет × отрасль/страна</w:t>
            </w:r>
          </w:p>
        </w:tc>
        <w:tc>
          <w:tcPr>
            <w:tcW w:type="dxa" w:w="246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Федерация данных и права</w:t>
            </w:r>
          </w:p>
        </w:tc>
      </w:tr>
      <w:tr>
        <w:trPr>
          <w:cantSplit/>
        </w:trP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BAL:C19:B06:S3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Долгий горизонт × настоящее—будущее × международный уровень</w:t>
            </w:r>
          </w:p>
        </w:tc>
        <w:tc>
          <w:tcPr>
            <w:tcW w:type="dxa" w:w="2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Сопоставимость и наследование</w:t>
            </w:r>
          </w:p>
        </w:tc>
      </w:tr>
      <w:tr>
        <w:trPr>
          <w:cantSplit/>
        </w:trPr>
        <w:tc>
          <w:tcPr>
            <w:tcW w:type="dxa" w:w="22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BAL:C09:B04:S1</w:t>
            </w:r>
          </w:p>
        </w:tc>
        <w:tc>
          <w:tcPr>
            <w:tcW w:type="dxa" w:w="47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Вода × природа—техносфера × объект/территория</w:t>
            </w:r>
          </w:p>
        </w:tc>
        <w:tc>
          <w:tcPr>
            <w:tcW w:type="dxa" w:w="246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Водно-почвенный пилот</w:t>
            </w:r>
          </w:p>
        </w:tc>
      </w:tr>
      <w:tr>
        <w:trPr>
          <w:cantSplit/>
        </w:trP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BAL:C10:B04:S1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Экология × природа—техносфера × объект/территория</w:t>
            </w:r>
          </w:p>
        </w:tc>
        <w:tc>
          <w:tcPr>
            <w:tcW w:type="dxa" w:w="2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Биоценоз и ферма полного цикла</w:t>
            </w:r>
          </w:p>
        </w:tc>
      </w:tr>
    </w:tbl>
    <w:p>
      <w:pPr>
        <w:spacing w:before="0" w:after="80"/>
      </w:pPr>
    </w:p>
    <w:p>
      <w:pPr>
        <w:pStyle w:val="Heading2"/>
      </w:pPr>
      <w:r>
        <w:t>FIELD‑741 и ОРИОН 22:22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FIELD:S05:N05:D — диагностика сигнала; FIELD:S05:N14:K — координация стандарта и данных.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FIELD:S09:N17:R — развитие технологии; FIELD:S13:N10:D — диагностика риска; FIELD:S08:N19:R — проверенный результат.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ОРИОН: OBJ/GEO/TIM задают объект, территорию и время; IND — показатель; RSK — риск; PRV — происхождение; REC/RGT — архив и права.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16 КОНов применяются как этико-системная рамка: K08 причинность, K12 ресурсы без переноса физического закона на социальные процессы, K16 безопасный переход.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A97817"/>
          <w:left w:val="single" w:sz="8" w:space="0" w:color="A97817"/>
          <w:bottom w:val="single" w:sz="8" w:space="0" w:color="A97817"/>
          <w:right w:val="single" w:sz="8" w:space="0" w:color="A97817"/>
          <w:insideH w:val="single" w:sz="8" w:space="0" w:color="A97817"/>
          <w:insideV w:val="single" w:sz="8" w:space="0" w:color="A97817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FFF7E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A97817"/>
                <w:sz w:val="18"/>
                <w:lang w:val="ru-RU"/>
              </w:rPr>
              <w:t xml:space="preserve">МОСТ К КОСМИЧЕСКИМ НАУКАМ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C05/C18/C19 связывают астрономию и астрофизику, космическую геодезию и навигацию, дистанционное зондирование Земли и планет, точное время/частоту, оптические часы, измерения полей и частиц. Для каждого применения обязательны measurand, SI, неопределённость и прослеживаемость. Дополнительные физические измерения пространства допустимы только как гипотезы конкретной теории и хранятся отдельно от наблюдений.</w:t>
            </w:r>
          </w:p>
        </w:tc>
      </w:tr>
    </w:tbl>
    <w:p>
      <w:pPr>
        <w:spacing w:after="4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16979A"/>
          <w:left w:val="single" w:sz="8" w:space="0" w:color="16979A"/>
          <w:bottom w:val="single" w:sz="8" w:space="0" w:color="16979A"/>
          <w:right w:val="single" w:sz="8" w:space="0" w:color="16979A"/>
          <w:insideH w:val="single" w:sz="8" w:space="0" w:color="16979A"/>
          <w:insideV w:val="single" w:sz="8" w:space="0" w:color="16979A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16979A"/>
                <w:sz w:val="18"/>
                <w:lang w:val="ru-RU"/>
              </w:rPr>
              <w:t xml:space="preserve">ВЕРСИОННОЕ ПРАВИЛО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z = Z0…Z4 версионирует те же 741 ячейки и не является новым множителем. Запись пилота стартует в Z0/Z1, после опыта переходит в Z2, при независимой проверке — в Z3, при устойчивой эксплуатации — в Z4.</w:t>
            </w:r>
          </w:p>
        </w:tc>
      </w:tr>
    </w:tbl>
    <w:p>
      <w:pPr>
        <w:spacing w:after="40"/>
      </w:pPr>
    </w:p>
    <w:p>
      <w:pPr>
        <w:pStyle w:val="Heading1"/>
        <w:pageBreakBefore/>
      </w:pPr>
      <w:r>
        <w:rPr>
          <w:rFonts w:ascii="Calibri" w:hAnsi="Calibri" w:eastAsia="Calibri" w:cs="Calibri"/>
          <w:b/>
          <w:color w:val="A97817"/>
          <w:sz w:val="18"/>
          <w:lang w:val="ru-RU"/>
        </w:rPr>
        <w:t xml:space="preserve">МОДЕЛЬ / E1  /  </w:t>
      </w:r>
      <w:r>
        <w:rPr>
          <w:rFonts w:ascii="Calibri" w:hAnsi="Calibri" w:eastAsia="Calibri" w:cs="Calibri"/>
          <w:b/>
          <w:color w:val="2E74B5"/>
          <w:sz w:val="32"/>
          <w:lang w:val="ru-RU"/>
        </w:rPr>
        <w:t>Карта валидации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16979A"/>
          <w:left w:val="single" w:sz="8" w:space="0" w:color="16979A"/>
          <w:bottom w:val="single" w:sz="8" w:space="0" w:color="16979A"/>
          <w:right w:val="single" w:sz="8" w:space="0" w:color="16979A"/>
          <w:insideH w:val="single" w:sz="8" w:space="0" w:color="16979A"/>
          <w:insideV w:val="single" w:sz="8" w:space="0" w:color="16979A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16979A"/>
                <w:sz w:val="18"/>
                <w:lang w:val="ru-RU"/>
              </w:rPr>
              <w:t xml:space="preserve">НАЗНАЧЕНИЕ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Проектная карта связывает каждое проверяемое утверждение с измерением, данными, уровнем доказательности и решением. Это рабочий контур управления качеством, а не новый метрологический стандарт.</w:t>
            </w:r>
          </w:p>
        </w:tc>
      </w:tr>
    </w:tbl>
    <w:p>
      <w:pPr>
        <w:spacing w:after="40"/>
      </w:pPr>
    </w:p>
    <w:p>
      <w:pPr>
        <w:pStyle w:val="KRPICaption"/>
        <w:keepNext/>
      </w:pPr>
      <w:r>
        <w:t>Таблица 9 — Маршрут утверждения от регистрации до решения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FD8E3"/>
          <w:left w:val="single" w:sz="6" w:space="0" w:color="CFD8E3"/>
          <w:bottom w:val="single" w:sz="6" w:space="0" w:color="CFD8E3"/>
          <w:right w:val="single" w:sz="6" w:space="0" w:color="CFD8E3"/>
          <w:insideH w:val="single" w:sz="6" w:space="0" w:color="CFD8E3"/>
          <w:insideV w:val="single" w:sz="6" w:space="0" w:color="CFD8E3"/>
        </w:tblBorders>
      </w:tblPr>
      <w:tblGrid>
        <w:gridCol w:w="1700"/>
        <w:gridCol w:w="4900"/>
        <w:gridCol w:w="2760"/>
      </w:tblGrid>
      <w:tr>
        <w:trPr>
          <w:tblHeader w:val="true"/>
          <w:cantSplit/>
        </w:trPr>
        <w:tc>
          <w:tcPr>
            <w:tcW w:type="dxa" w:w="17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5"/>
                <w:lang w:val="ru-RU"/>
              </w:rPr>
              <w:t>Звено</w:t>
            </w:r>
          </w:p>
        </w:tc>
        <w:tc>
          <w:tcPr>
            <w:tcW w:type="dxa" w:w="4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5"/>
                <w:lang w:val="ru-RU"/>
              </w:rPr>
              <w:t>Что фиксируется</w:t>
            </w:r>
          </w:p>
        </w:tc>
        <w:tc>
          <w:tcPr>
            <w:tcW w:type="dxa" w:w="27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5"/>
                <w:lang w:val="ru-RU"/>
              </w:rPr>
              <w:t>Блокирующий вопрос</w:t>
            </w:r>
          </w:p>
        </w:tc>
      </w:tr>
      <w:tr>
        <w:trPr>
          <w:cantSplit/>
        </w:trP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5"/>
                <w:lang w:val="ru-RU"/>
              </w:rPr>
              <w:t>Claim ID</w:t>
            </w:r>
          </w:p>
        </w:tc>
        <w:tc>
          <w:tcPr>
            <w:tcW w:type="dxa" w:w="4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Уникальный ID, версия, формулировка и область</w:t>
            </w:r>
          </w:p>
        </w:tc>
        <w:tc>
          <w:tcPr>
            <w:tcW w:type="dxa" w:w="2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Утверждение однозначно и опровержимо?</w:t>
            </w:r>
          </w:p>
        </w:tc>
      </w:tr>
      <w:tr>
        <w:trPr>
          <w:cantSplit/>
        </w:trPr>
        <w:tc>
          <w:tcPr>
            <w:tcW w:type="dxa" w:w="17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5"/>
                <w:lang w:val="ru-RU"/>
              </w:rPr>
              <w:t>Measurand</w:t>
            </w:r>
          </w:p>
        </w:tc>
        <w:tc>
          <w:tcPr>
            <w:tcW w:type="dxa" w:w="49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Величина, объект, граница, единица и условия</w:t>
            </w:r>
          </w:p>
        </w:tc>
        <w:tc>
          <w:tcPr>
            <w:tcW w:type="dxa" w:w="276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Что именно может быть измерено?</w:t>
            </w:r>
          </w:p>
        </w:tc>
      </w:tr>
      <w:tr>
        <w:trPr>
          <w:cantSplit/>
        </w:trP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5"/>
                <w:lang w:val="ru-RU"/>
              </w:rPr>
              <w:t>Метод / SOP</w:t>
            </w:r>
          </w:p>
        </w:tc>
        <w:tc>
          <w:tcPr>
            <w:tcW w:type="dxa" w:w="4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Методика, версия, отбор проб, вычисление</w:t>
            </w:r>
          </w:p>
        </w:tc>
        <w:tc>
          <w:tcPr>
            <w:tcW w:type="dxa" w:w="2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Можно ли повторить процедуру?</w:t>
            </w:r>
          </w:p>
        </w:tc>
      </w:tr>
      <w:tr>
        <w:trPr>
          <w:cantSplit/>
        </w:trPr>
        <w:tc>
          <w:tcPr>
            <w:tcW w:type="dxa" w:w="17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5"/>
                <w:lang w:val="ru-RU"/>
              </w:rPr>
              <w:t>Эталон / калибровка</w:t>
            </w:r>
          </w:p>
        </w:tc>
        <w:tc>
          <w:tcPr>
            <w:tcW w:type="dxa" w:w="49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Опора, цепочка, диапазон и срок действия</w:t>
            </w:r>
          </w:p>
        </w:tc>
        <w:tc>
          <w:tcPr>
            <w:tcW w:type="dxa" w:w="276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Есть ли прослеживаемость?</w:t>
            </w:r>
          </w:p>
        </w:tc>
      </w:tr>
      <w:tr>
        <w:trPr>
          <w:cantSplit/>
        </w:trP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5"/>
                <w:lang w:val="ru-RU"/>
              </w:rPr>
              <w:t>Данные / provenance</w:t>
            </w:r>
          </w:p>
        </w:tc>
        <w:tc>
          <w:tcPr>
            <w:tcW w:type="dxa" w:w="4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Dataset UID, автор, время, преобразования, checksum</w:t>
            </w:r>
          </w:p>
        </w:tc>
        <w:tc>
          <w:tcPr>
            <w:tcW w:type="dxa" w:w="2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Можно ли восстановить происхождение?</w:t>
            </w:r>
          </w:p>
        </w:tc>
      </w:tr>
      <w:tr>
        <w:trPr>
          <w:cantSplit/>
        </w:trPr>
        <w:tc>
          <w:tcPr>
            <w:tcW w:type="dxa" w:w="17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5"/>
                <w:lang w:val="ru-RU"/>
              </w:rPr>
              <w:t>U / QA</w:t>
            </w:r>
          </w:p>
        </w:tc>
        <w:tc>
          <w:tcPr>
            <w:tcW w:type="dxa" w:w="49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Бюджет неопределённости, флаги, контроли, исключения</w:t>
            </w:r>
          </w:p>
        </w:tc>
        <w:tc>
          <w:tcPr>
            <w:tcW w:type="dxa" w:w="276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Пригоден ли результат для решения?</w:t>
            </w:r>
          </w:p>
        </w:tc>
      </w:tr>
      <w:tr>
        <w:trPr>
          <w:cantSplit/>
        </w:trP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5"/>
                <w:lang w:val="ru-RU"/>
              </w:rPr>
              <w:t>E0–E4</w:t>
            </w:r>
          </w:p>
        </w:tc>
        <w:tc>
          <w:tcPr>
            <w:tcW w:type="dxa" w:w="4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Текущий evidence level и основание присвоения</w:t>
            </w:r>
          </w:p>
        </w:tc>
        <w:tc>
          <w:tcPr>
            <w:tcW w:type="dxa" w:w="2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Статус подтверждён данными?</w:t>
            </w:r>
          </w:p>
        </w:tc>
      </w:tr>
      <w:tr>
        <w:trPr>
          <w:cantSplit/>
        </w:trPr>
        <w:tc>
          <w:tcPr>
            <w:tcW w:type="dxa" w:w="17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5"/>
                <w:lang w:val="ru-RU"/>
              </w:rPr>
              <w:t>G0–G4</w:t>
            </w:r>
          </w:p>
        </w:tc>
        <w:tc>
          <w:tcPr>
            <w:tcW w:type="dxa" w:w="49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Шлюз, PASS / REWORK / STOP и условия</w:t>
            </w:r>
          </w:p>
        </w:tc>
        <w:tc>
          <w:tcPr>
            <w:tcW w:type="dxa" w:w="276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Разрешён ли следующий этап?</w:t>
            </w:r>
          </w:p>
        </w:tc>
      </w:tr>
      <w:tr>
        <w:trPr>
          <w:cantSplit/>
        </w:trP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5"/>
                <w:lang w:val="ru-RU"/>
              </w:rPr>
              <w:t>Ответственность</w:t>
            </w:r>
          </w:p>
        </w:tc>
        <w:tc>
          <w:tcPr>
            <w:tcW w:type="dxa" w:w="4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Владелец, проверяющий, дата пересмотра</w:t>
            </w:r>
          </w:p>
        </w:tc>
        <w:tc>
          <w:tcPr>
            <w:tcW w:type="dxa" w:w="2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Кто и когда отвечает за пересмотр?</w:t>
            </w:r>
          </w:p>
        </w:tc>
      </w:tr>
    </w:tbl>
    <w:p>
      <w:pPr>
        <w:spacing w:before="0" w:after="80"/>
      </w:pPr>
    </w:p>
    <w:p>
      <w:pPr>
        <w:pStyle w:val="KRPICaption"/>
        <w:keepNext/>
      </w:pPr>
      <w:r>
        <w:t>Таблица 10 — Матрица шлюзов G0–G4 и доказательности E0–E4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FD8E3"/>
          <w:left w:val="single" w:sz="6" w:space="0" w:color="CFD8E3"/>
          <w:bottom w:val="single" w:sz="6" w:space="0" w:color="CFD8E3"/>
          <w:right w:val="single" w:sz="6" w:space="0" w:color="CFD8E3"/>
          <w:insideH w:val="single" w:sz="6" w:space="0" w:color="CFD8E3"/>
          <w:insideV w:val="single" w:sz="6" w:space="0" w:color="CFD8E3"/>
        </w:tblBorders>
      </w:tblPr>
      <w:tblGrid>
        <w:gridCol w:w="1700"/>
        <w:gridCol w:w="1532"/>
        <w:gridCol w:w="1532"/>
        <w:gridCol w:w="1532"/>
        <w:gridCol w:w="1532"/>
        <w:gridCol w:w="1532"/>
      </w:tblGrid>
      <w:tr>
        <w:trPr>
          <w:tblHeader w:val="true"/>
          <w:cantSplit/>
        </w:trPr>
        <w:tc>
          <w:tcPr>
            <w:tcW w:type="dxa" w:w="17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4"/>
                <w:lang w:val="ru-RU"/>
              </w:rPr>
              <w:t>Шлюз</w:t>
            </w:r>
          </w:p>
        </w:tc>
        <w:tc>
          <w:tcPr>
            <w:tcW w:type="dxa" w:w="1532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4"/>
                <w:lang w:val="ru-RU"/>
              </w:rPr>
              <w:t>E0</w:t>
            </w:r>
          </w:p>
        </w:tc>
        <w:tc>
          <w:tcPr>
            <w:tcW w:type="dxa" w:w="1532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4"/>
                <w:lang w:val="ru-RU"/>
              </w:rPr>
              <w:t>E1</w:t>
            </w:r>
          </w:p>
        </w:tc>
        <w:tc>
          <w:tcPr>
            <w:tcW w:type="dxa" w:w="1532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4"/>
                <w:lang w:val="ru-RU"/>
              </w:rPr>
              <w:t>E2</w:t>
            </w:r>
          </w:p>
        </w:tc>
        <w:tc>
          <w:tcPr>
            <w:tcW w:type="dxa" w:w="1532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4"/>
                <w:lang w:val="ru-RU"/>
              </w:rPr>
              <w:t>E3</w:t>
            </w:r>
          </w:p>
        </w:tc>
        <w:tc>
          <w:tcPr>
            <w:tcW w:type="dxa" w:w="1532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4"/>
                <w:lang w:val="ru-RU"/>
              </w:rPr>
              <w:t>E4</w:t>
            </w:r>
          </w:p>
        </w:tc>
      </w:tr>
      <w:tr>
        <w:trPr>
          <w:cantSplit/>
        </w:trP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4"/>
                <w:lang w:val="ru-RU"/>
              </w:rPr>
              <w:t>G0 · регистрация</w:t>
            </w:r>
          </w:p>
        </w:tc>
        <w:tc>
          <w:tcPr>
            <w:tcW w:type="dxa" w:w="15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F5F4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4"/>
                <w:lang w:val="ru-RU"/>
              </w:rPr>
              <w:t>описан</w:t>
            </w:r>
          </w:p>
        </w:tc>
        <w:tc>
          <w:tcPr>
            <w:tcW w:type="dxa" w:w="15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4"/>
                <w:lang w:val="ru-RU"/>
              </w:rPr>
              <w:t>гипотеза</w:t>
            </w:r>
          </w:p>
        </w:tc>
        <w:tc>
          <w:tcPr>
            <w:tcW w:type="dxa" w:w="15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4"/>
                <w:lang w:val="ru-RU"/>
              </w:rPr>
              <w:t>—</w:t>
            </w:r>
          </w:p>
        </w:tc>
        <w:tc>
          <w:tcPr>
            <w:tcW w:type="dxa" w:w="15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4"/>
                <w:lang w:val="ru-RU"/>
              </w:rPr>
              <w:t>—</w:t>
            </w:r>
          </w:p>
        </w:tc>
        <w:tc>
          <w:tcPr>
            <w:tcW w:type="dxa" w:w="15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4"/>
                <w:lang w:val="ru-RU"/>
              </w:rPr>
              <w:t>—</w:t>
            </w:r>
          </w:p>
        </w:tc>
      </w:tr>
      <w:tr>
        <w:trPr>
          <w:cantSplit/>
        </w:trP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4"/>
                <w:lang w:val="ru-RU"/>
              </w:rPr>
              <w:t>G1 · протокол</w:t>
            </w:r>
          </w:p>
        </w:tc>
        <w:tc>
          <w:tcPr>
            <w:tcW w:type="dxa" w:w="15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4"/>
                <w:lang w:val="ru-RU"/>
              </w:rPr>
              <w:t>ссылка</w:t>
            </w:r>
          </w:p>
        </w:tc>
        <w:tc>
          <w:tcPr>
            <w:tcW w:type="dxa" w:w="15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F5F4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4"/>
                <w:lang w:val="ru-RU"/>
              </w:rPr>
              <w:t>SOP + база</w:t>
            </w:r>
          </w:p>
        </w:tc>
        <w:tc>
          <w:tcPr>
            <w:tcW w:type="dxa" w:w="15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4"/>
                <w:lang w:val="ru-RU"/>
              </w:rPr>
              <w:t>к сбору</w:t>
            </w:r>
          </w:p>
        </w:tc>
        <w:tc>
          <w:tcPr>
            <w:tcW w:type="dxa" w:w="15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4"/>
                <w:lang w:val="ru-RU"/>
              </w:rPr>
              <w:t>—</w:t>
            </w:r>
          </w:p>
        </w:tc>
        <w:tc>
          <w:tcPr>
            <w:tcW w:type="dxa" w:w="15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4"/>
                <w:lang w:val="ru-RU"/>
              </w:rPr>
              <w:t>—</w:t>
            </w:r>
          </w:p>
        </w:tc>
      </w:tr>
      <w:tr>
        <w:trPr>
          <w:cantSplit/>
        </w:trP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4"/>
                <w:lang w:val="ru-RU"/>
              </w:rPr>
              <w:t>G2 · внутренняя</w:t>
            </w:r>
          </w:p>
        </w:tc>
        <w:tc>
          <w:tcPr>
            <w:tcW w:type="dxa" w:w="15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4"/>
                <w:lang w:val="ru-RU"/>
              </w:rPr>
              <w:t>ссылка</w:t>
            </w:r>
          </w:p>
        </w:tc>
        <w:tc>
          <w:tcPr>
            <w:tcW w:type="dxa" w:w="15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4"/>
                <w:lang w:val="ru-RU"/>
              </w:rPr>
              <w:t>версия</w:t>
            </w:r>
          </w:p>
        </w:tc>
        <w:tc>
          <w:tcPr>
            <w:tcW w:type="dxa" w:w="15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F5F4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4"/>
                <w:lang w:val="ru-RU"/>
              </w:rPr>
              <w:t>PASS / REWORK</w:t>
            </w:r>
          </w:p>
        </w:tc>
        <w:tc>
          <w:tcPr>
            <w:tcW w:type="dxa" w:w="15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4"/>
                <w:lang w:val="ru-RU"/>
              </w:rPr>
              <w:t>к проверке</w:t>
            </w:r>
          </w:p>
        </w:tc>
        <w:tc>
          <w:tcPr>
            <w:tcW w:type="dxa" w:w="15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4"/>
                <w:lang w:val="ru-RU"/>
              </w:rPr>
              <w:t>—</w:t>
            </w:r>
          </w:p>
        </w:tc>
      </w:tr>
      <w:tr>
        <w:trPr>
          <w:cantSplit/>
        </w:trP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4"/>
                <w:lang w:val="ru-RU"/>
              </w:rPr>
              <w:t>G3 · независимая</w:t>
            </w:r>
          </w:p>
        </w:tc>
        <w:tc>
          <w:tcPr>
            <w:tcW w:type="dxa" w:w="15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4"/>
                <w:lang w:val="ru-RU"/>
              </w:rPr>
              <w:t>архив</w:t>
            </w:r>
          </w:p>
        </w:tc>
        <w:tc>
          <w:tcPr>
            <w:tcW w:type="dxa" w:w="15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4"/>
                <w:lang w:val="ru-RU"/>
              </w:rPr>
              <w:t>заморожена</w:t>
            </w:r>
          </w:p>
        </w:tc>
        <w:tc>
          <w:tcPr>
            <w:tcW w:type="dxa" w:w="15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4"/>
                <w:lang w:val="ru-RU"/>
              </w:rPr>
              <w:t>сопоставлено</w:t>
            </w:r>
          </w:p>
        </w:tc>
        <w:tc>
          <w:tcPr>
            <w:tcW w:type="dxa" w:w="15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F5F4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4"/>
                <w:lang w:val="ru-RU"/>
              </w:rPr>
              <w:t>PASS / REWORK</w:t>
            </w:r>
          </w:p>
        </w:tc>
        <w:tc>
          <w:tcPr>
            <w:tcW w:type="dxa" w:w="15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4"/>
                <w:lang w:val="ru-RU"/>
              </w:rPr>
              <w:t>к эксплуатации</w:t>
            </w:r>
          </w:p>
        </w:tc>
      </w:tr>
      <w:tr>
        <w:trPr>
          <w:cantSplit/>
        </w:trP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4"/>
                <w:lang w:val="ru-RU"/>
              </w:rPr>
              <w:t>G4 · эксплуатация</w:t>
            </w:r>
          </w:p>
        </w:tc>
        <w:tc>
          <w:tcPr>
            <w:tcW w:type="dxa" w:w="15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4"/>
                <w:lang w:val="ru-RU"/>
              </w:rPr>
              <w:t>архив</w:t>
            </w:r>
          </w:p>
        </w:tc>
        <w:tc>
          <w:tcPr>
            <w:tcW w:type="dxa" w:w="15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4"/>
                <w:lang w:val="ru-RU"/>
              </w:rPr>
              <w:t>архив</w:t>
            </w:r>
          </w:p>
        </w:tc>
        <w:tc>
          <w:tcPr>
            <w:tcW w:type="dxa" w:w="15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4"/>
                <w:lang w:val="ru-RU"/>
              </w:rPr>
              <w:t>надзор</w:t>
            </w:r>
          </w:p>
        </w:tc>
        <w:tc>
          <w:tcPr>
            <w:tcW w:type="dxa" w:w="15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4"/>
                <w:lang w:val="ru-RU"/>
              </w:rPr>
              <w:t>надзор</w:t>
            </w:r>
          </w:p>
        </w:tc>
        <w:tc>
          <w:tcPr>
            <w:tcW w:type="dxa" w:w="15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F5F4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4"/>
                <w:lang w:val="ru-RU"/>
              </w:rPr>
              <w:t>PASS + monitor</w:t>
            </w:r>
          </w:p>
        </w:tc>
      </w:tr>
    </w:tbl>
    <w:p>
      <w:pPr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A97817"/>
          <w:left w:val="single" w:sz="8" w:space="0" w:color="A97817"/>
          <w:bottom w:val="single" w:sz="8" w:space="0" w:color="A97817"/>
          <w:right w:val="single" w:sz="8" w:space="0" w:color="A97817"/>
          <w:insideH w:val="single" w:sz="8" w:space="0" w:color="A97817"/>
          <w:insideV w:val="single" w:sz="8" w:space="0" w:color="A97817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FFF7E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A97817"/>
                <w:sz w:val="18"/>
                <w:lang w:val="ru-RU"/>
              </w:rPr>
              <w:t xml:space="preserve">ПРИМЕР ЗАПИСИ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CLM-BIO-WAT-NO3-0001@1.0 → концентрация нитратов в заданной пробе воды → SOP и калибровочная цепь → dataset/provenance → y ± U → E2/G2 → владелец бассейнового пилота; пересмотр в паспортированную дату. Число появляется только после измерения.</w:t>
            </w:r>
          </w:p>
        </w:tc>
      </w:tr>
    </w:tbl>
    <w:p>
      <w:pPr>
        <w:spacing w:after="40"/>
      </w:pPr>
    </w:p>
    <w:p>
      <w:pPr>
        <w:pStyle w:val="Heading1"/>
        <w:pageBreakBefore/>
      </w:pPr>
      <w:r>
        <w:rPr>
          <w:rFonts w:ascii="Calibri" w:hAnsi="Calibri" w:eastAsia="Calibri" w:cs="Calibri"/>
          <w:b/>
          <w:color w:val="A97817"/>
          <w:sz w:val="18"/>
          <w:lang w:val="ru-RU"/>
        </w:rPr>
        <w:t xml:space="preserve">МОДЕЛЬ / E1  /  </w:t>
      </w:r>
      <w:r>
        <w:rPr>
          <w:rFonts w:ascii="Calibri" w:hAnsi="Calibri" w:eastAsia="Calibri" w:cs="Calibri"/>
          <w:b/>
          <w:color w:val="2E74B5"/>
          <w:sz w:val="32"/>
          <w:lang w:val="ru-RU"/>
        </w:rPr>
        <w:t>Биоценозные метки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A97817"/>
          <w:left w:val="single" w:sz="8" w:space="0" w:color="A97817"/>
          <w:bottom w:val="single" w:sz="8" w:space="0" w:color="A97817"/>
          <w:right w:val="single" w:sz="8" w:space="0" w:color="A97817"/>
          <w:insideH w:val="single" w:sz="8" w:space="0" w:color="A97817"/>
          <w:insideV w:val="single" w:sz="8" w:space="0" w:color="A97817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FFF7E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A97817"/>
                <w:sz w:val="18"/>
                <w:lang w:val="ru-RU"/>
              </w:rPr>
              <w:t xml:space="preserve">ГРАНИЦА ПРИМЕНЕНИЯ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BIOC — проектная машиночитаемая разметка экологических наблюдений, а не «метки людей» и не международный стандарт. Она сопоставляет воду, почву и биоту при сохранении терминов первичного источника.</w:t>
            </w:r>
          </w:p>
        </w:tc>
      </w:tr>
    </w:tbl>
    <w:p>
      <w:pPr>
        <w:spacing w:after="4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2E74B5"/>
          <w:left w:val="single" w:sz="8" w:space="0" w:color="2E74B5"/>
          <w:bottom w:val="single" w:sz="8" w:space="0" w:color="2E74B5"/>
          <w:right w:val="single" w:sz="8" w:space="0" w:color="2E74B5"/>
          <w:insideH w:val="single" w:sz="8" w:space="0" w:color="2E74B5"/>
          <w:insideV w:val="single" w:sz="8" w:space="0" w:color="2E74B5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2E74B5"/>
                <w:sz w:val="18"/>
                <w:lang w:val="ru-RU"/>
              </w:rPr>
              <w:t xml:space="preserve">СИНТАКСИС  </w:t>
            </w:r>
            <w:r>
              <w:rPr>
                <w:rFonts w:ascii="Cambria Math" w:hAnsi="Cambria Math" w:eastAsia="Cambria Math" w:cs="Cambria Math"/>
                <w:b/>
                <w:color w:val="0B2545"/>
                <w:sz w:val="21"/>
                <w:lang w:val="ru-RU"/>
              </w:rPr>
              <w:t>BIOC/{ENV}/{OBJ}/{STATE}/{METHOD}/{SCALE}/{TIME}/{E}@{version}</w:t>
            </w:r>
          </w:p>
        </w:tc>
      </w:tr>
    </w:tbl>
    <w:p>
      <w:pPr>
        <w:spacing w:after="40"/>
      </w:pPr>
    </w:p>
    <w:p>
      <w:pPr>
        <w:pStyle w:val="KRPICaption"/>
        <w:keepNext/>
      </w:pPr>
      <w:r>
        <w:t>Таблица 11 — Справочники проектного кода BIOC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FD8E3"/>
          <w:left w:val="single" w:sz="6" w:space="0" w:color="CFD8E3"/>
          <w:bottom w:val="single" w:sz="6" w:space="0" w:color="CFD8E3"/>
          <w:right w:val="single" w:sz="6" w:space="0" w:color="CFD8E3"/>
          <w:insideH w:val="single" w:sz="6" w:space="0" w:color="CFD8E3"/>
          <w:insideV w:val="single" w:sz="6" w:space="0" w:color="CFD8E3"/>
        </w:tblBorders>
      </w:tblPr>
      <w:tblGrid>
        <w:gridCol w:w="1250"/>
        <w:gridCol w:w="2720"/>
        <w:gridCol w:w="5390"/>
      </w:tblGrid>
      <w:tr>
        <w:trPr>
          <w:tblHeader w:val="true"/>
          <w:cantSplit/>
        </w:trPr>
        <w:tc>
          <w:tcPr>
            <w:tcW w:type="dxa" w:w="12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5"/>
                <w:lang w:val="ru-RU"/>
              </w:rPr>
              <w:t>Сегмент</w:t>
            </w:r>
          </w:p>
        </w:tc>
        <w:tc>
          <w:tcPr>
            <w:tcW w:type="dxa" w:w="272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5"/>
                <w:lang w:val="ru-RU"/>
              </w:rPr>
              <w:t>Смысл</w:t>
            </w:r>
          </w:p>
        </w:tc>
        <w:tc>
          <w:tcPr>
            <w:tcW w:type="dxa" w:w="539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5"/>
                <w:lang w:val="ru-RU"/>
              </w:rPr>
              <w:t>Примеры значений</w:t>
            </w:r>
          </w:p>
        </w:tc>
      </w:tr>
      <w:tr>
        <w:trPr>
          <w:cantSplit/>
        </w:trPr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5"/>
                <w:lang w:val="ru-RU"/>
              </w:rPr>
              <w:t>ENV</w:t>
            </w:r>
          </w:p>
        </w:tc>
        <w:tc>
          <w:tcPr>
            <w:tcW w:type="dxa" w:w="27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Среда</w:t>
            </w:r>
          </w:p>
        </w:tc>
        <w:tc>
          <w:tcPr>
            <w:tcW w:type="dxa" w:w="539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WAT вода; SOI почва; BIO биота; ATM атмосфера</w:t>
            </w:r>
          </w:p>
        </w:tc>
      </w:tr>
      <w:tr>
        <w:trPr>
          <w:cantSplit/>
        </w:trPr>
        <w:tc>
          <w:tcPr>
            <w:tcW w:type="dxa" w:w="125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5"/>
                <w:lang w:val="ru-RU"/>
              </w:rPr>
              <w:t>OBJ</w:t>
            </w:r>
          </w:p>
        </w:tc>
        <w:tc>
          <w:tcPr>
            <w:tcW w:type="dxa" w:w="272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Объект</w:t>
            </w:r>
          </w:p>
        </w:tc>
        <w:tc>
          <w:tcPr>
            <w:tcW w:type="dxa" w:w="539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RIV река; FLD участок; COMM сообщество; SPEC таксон</w:t>
            </w:r>
          </w:p>
        </w:tc>
      </w:tr>
      <w:tr>
        <w:trPr>
          <w:cantSplit/>
        </w:trPr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5"/>
                <w:lang w:val="ru-RU"/>
              </w:rPr>
              <w:t>STATE</w:t>
            </w:r>
          </w:p>
        </w:tc>
        <w:tc>
          <w:tcPr>
            <w:tcW w:type="dxa" w:w="27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Состояние / домен</w:t>
            </w:r>
          </w:p>
        </w:tc>
        <w:tc>
          <w:tcPr>
            <w:tcW w:type="dxa" w:w="539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CHEM хим.; PHYS физ.; ECO эколог.; FUNC функция</w:t>
            </w:r>
          </w:p>
        </w:tc>
      </w:tr>
      <w:tr>
        <w:trPr>
          <w:cantSplit/>
        </w:trPr>
        <w:tc>
          <w:tcPr>
            <w:tcW w:type="dxa" w:w="125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5"/>
                <w:lang w:val="ru-RU"/>
              </w:rPr>
              <w:t>METHOD</w:t>
            </w:r>
          </w:p>
        </w:tc>
        <w:tc>
          <w:tcPr>
            <w:tcW w:type="dxa" w:w="272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Метод и версия</w:t>
            </w:r>
          </w:p>
        </w:tc>
        <w:tc>
          <w:tcPr>
            <w:tcW w:type="dxa" w:w="539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NO3-LAB; BD-CORE; OCC-OBS; RS-IMG</w:t>
            </w:r>
          </w:p>
        </w:tc>
      </w:tr>
      <w:tr>
        <w:trPr>
          <w:cantSplit/>
        </w:trPr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5"/>
                <w:lang w:val="ru-RU"/>
              </w:rPr>
              <w:t>SCALE</w:t>
            </w:r>
          </w:p>
        </w:tc>
        <w:tc>
          <w:tcPr>
            <w:tcW w:type="dxa" w:w="27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Геомасштаб</w:t>
            </w:r>
          </w:p>
        </w:tc>
        <w:tc>
          <w:tcPr>
            <w:tcW w:type="dxa" w:w="539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S0 точка; S1 участок; S2 бассейн; S3 регион</w:t>
            </w:r>
          </w:p>
        </w:tc>
      </w:tr>
      <w:tr>
        <w:trPr>
          <w:cantSplit/>
        </w:trPr>
        <w:tc>
          <w:tcPr>
            <w:tcW w:type="dxa" w:w="125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5"/>
                <w:lang w:val="ru-RU"/>
              </w:rPr>
              <w:t>TIME</w:t>
            </w:r>
          </w:p>
        </w:tc>
        <w:tc>
          <w:tcPr>
            <w:tcW w:type="dxa" w:w="272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Временное окно</w:t>
            </w:r>
          </w:p>
        </w:tc>
        <w:tc>
          <w:tcPr>
            <w:tcW w:type="dxa" w:w="539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дата; неделя; сезон; квартал; интервал</w:t>
            </w:r>
          </w:p>
        </w:tc>
      </w:tr>
      <w:tr>
        <w:trPr>
          <w:cantSplit/>
        </w:trPr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5"/>
                <w:lang w:val="ru-RU"/>
              </w:rPr>
              <w:t>E</w:t>
            </w:r>
          </w:p>
        </w:tc>
        <w:tc>
          <w:tcPr>
            <w:tcW w:type="dxa" w:w="27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Доказательность</w:t>
            </w:r>
          </w:p>
        </w:tc>
        <w:tc>
          <w:tcPr>
            <w:tcW w:type="dxa" w:w="539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E0…E4 по общей лестнице выпуска</w:t>
            </w:r>
          </w:p>
        </w:tc>
      </w:tr>
      <w:tr>
        <w:trPr>
          <w:cantSplit/>
        </w:trPr>
        <w:tc>
          <w:tcPr>
            <w:tcW w:type="dxa" w:w="125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5"/>
                <w:lang w:val="ru-RU"/>
              </w:rPr>
              <w:t>GEO/TAX/PRV</w:t>
            </w:r>
          </w:p>
        </w:tc>
        <w:tc>
          <w:tcPr>
            <w:tcW w:type="dxa" w:w="272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Связанные поля</w:t>
            </w:r>
          </w:p>
        </w:tc>
        <w:tc>
          <w:tcPr>
            <w:tcW w:type="dxa" w:w="539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геометрия; taxon ID; источник; checksum; U</w:t>
            </w:r>
          </w:p>
        </w:tc>
      </w:tr>
    </w:tbl>
    <w:p>
      <w:pPr>
        <w:spacing w:before="0" w:after="80"/>
      </w:pPr>
    </w:p>
    <w:p>
      <w:pPr>
        <w:pStyle w:val="KRPICaption"/>
        <w:keepNext/>
      </w:pPr>
      <w:r>
        <w:t>Таблица 12 — Три примера без потери исходного паспорта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FD8E3"/>
          <w:left w:val="single" w:sz="6" w:space="0" w:color="CFD8E3"/>
          <w:bottom w:val="single" w:sz="6" w:space="0" w:color="CFD8E3"/>
          <w:right w:val="single" w:sz="6" w:space="0" w:color="CFD8E3"/>
          <w:insideH w:val="single" w:sz="6" w:space="0" w:color="CFD8E3"/>
          <w:insideV w:val="single" w:sz="6" w:space="0" w:color="CFD8E3"/>
        </w:tblBorders>
      </w:tblPr>
      <w:tblGrid>
        <w:gridCol w:w="1100"/>
        <w:gridCol w:w="5250"/>
        <w:gridCol w:w="3010"/>
      </w:tblGrid>
      <w:tr>
        <w:trPr>
          <w:tblHeader w:val="true"/>
          <w:cantSplit/>
        </w:trPr>
        <w:tc>
          <w:tcPr>
            <w:tcW w:type="dxa" w:w="11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4"/>
                <w:lang w:val="ru-RU"/>
              </w:rPr>
              <w:t>Контур</w:t>
            </w:r>
          </w:p>
        </w:tc>
        <w:tc>
          <w:tcPr>
            <w:tcW w:type="dxa" w:w="52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4"/>
                <w:lang w:val="ru-RU"/>
              </w:rPr>
              <w:t>Код BIOC</w:t>
            </w:r>
          </w:p>
        </w:tc>
        <w:tc>
          <w:tcPr>
            <w:tcW w:type="dxa" w:w="301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4"/>
                <w:lang w:val="ru-RU"/>
              </w:rPr>
              <w:t>Что обязательно рядом</w:t>
            </w:r>
          </w:p>
        </w:tc>
      </w:tr>
      <w:tr>
        <w:trPr>
          <w:cantSplit/>
        </w:trP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4"/>
                <w:lang w:val="ru-RU"/>
              </w:rPr>
              <w:t>Вода</w:t>
            </w:r>
          </w:p>
        </w:tc>
        <w:tc>
          <w:tcPr>
            <w:tcW w:type="dxa" w:w="5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4"/>
                <w:lang w:val="ru-RU"/>
              </w:rPr>
              <w:t>BIOC/WAT/RIV/CHEM/NO3-LAB/S1/2026-08/E2@1.0</w:t>
            </w:r>
          </w:p>
        </w:tc>
        <w:tc>
          <w:tcPr>
            <w:tcW w:type="dxa" w:w="3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4"/>
                <w:lang w:val="ru-RU"/>
              </w:rPr>
              <w:t>mg/L; проба; SOP; U; GEO; PRV</w:t>
            </w:r>
          </w:p>
        </w:tc>
      </w:tr>
      <w:tr>
        <w:trPr>
          <w:cantSplit/>
        </w:trPr>
        <w:tc>
          <w:tcPr>
            <w:tcW w:type="dxa" w:w="11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4"/>
                <w:lang w:val="ru-RU"/>
              </w:rPr>
              <w:t>Почва</w:t>
            </w:r>
          </w:p>
        </w:tc>
        <w:tc>
          <w:tcPr>
            <w:tcW w:type="dxa" w:w="525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4"/>
                <w:lang w:val="ru-RU"/>
              </w:rPr>
              <w:t>BIOC/SOI/FLD/PHYS/BD-CORE/S1/2026-Q3/E2@1.0</w:t>
            </w:r>
          </w:p>
        </w:tc>
        <w:tc>
          <w:tcPr>
            <w:tcW w:type="dxa" w:w="301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4"/>
                <w:lang w:val="ru-RU"/>
              </w:rPr>
              <w:t>kg/m³; слой; влажность; U; GEO</w:t>
            </w:r>
          </w:p>
        </w:tc>
      </w:tr>
      <w:tr>
        <w:trPr>
          <w:cantSplit/>
        </w:trP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4"/>
                <w:lang w:val="ru-RU"/>
              </w:rPr>
              <w:t>Биота</w:t>
            </w:r>
          </w:p>
        </w:tc>
        <w:tc>
          <w:tcPr>
            <w:tcW w:type="dxa" w:w="5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4"/>
                <w:lang w:val="ru-RU"/>
              </w:rPr>
              <w:t>BIOC/BIO/COMM/ECO/OCC-OBS/S1/2026-SUM/E2@1.0</w:t>
            </w:r>
          </w:p>
        </w:tc>
        <w:tc>
          <w:tcPr>
            <w:tcW w:type="dxa" w:w="3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4"/>
                <w:lang w:val="ru-RU"/>
              </w:rPr>
              <w:t>таксономия; усилие; дата; метод; U</w:t>
            </w:r>
          </w:p>
        </w:tc>
      </w:tr>
    </w:tbl>
    <w:p>
      <w:pPr>
        <w:spacing w:before="0" w:after="80"/>
      </w:pP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Версия кода неизменяема: исправление создаёт новую запись и связь supersedes.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Геопривязка хранит систему координат, точность и допустимое обобщение чувствительных мест.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Результат без единицы, U и версии метода не допускается к расчёту; таксоны имеют устойчивые ID, источник и таблицу синонимов.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16979A"/>
          <w:left w:val="single" w:sz="8" w:space="0" w:color="16979A"/>
          <w:bottom w:val="single" w:sz="8" w:space="0" w:color="16979A"/>
          <w:right w:val="single" w:sz="8" w:space="0" w:color="16979A"/>
          <w:insideH w:val="single" w:sz="8" w:space="0" w:color="16979A"/>
          <w:insideV w:val="single" w:sz="8" w:space="0" w:color="16979A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16979A"/>
                <w:sz w:val="18"/>
                <w:lang w:val="ru-RU"/>
              </w:rPr>
              <w:t xml:space="preserve">CROSSWALK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BAL:C09/C10:B04:S1 связывает воду и экологию; FIELD:S12:N18:D — наблюдение и диагностику; ОРИОН OBJ/GEO/TIM/IND/PRV — объект, место, время, показатель и provenance. BIOC питает пилот «бассейн—почва—ферма», не заменяя паспорт.</w:t>
            </w:r>
          </w:p>
        </w:tc>
      </w:tr>
    </w:tbl>
    <w:p>
      <w:pPr>
        <w:pStyle w:val="Heading1"/>
        <w:pageBreakBefore/>
      </w:pPr>
      <w:r>
        <w:rPr>
          <w:rFonts w:ascii="Calibri" w:hAnsi="Calibri" w:eastAsia="Calibri" w:cs="Calibri"/>
          <w:b/>
          <w:color w:val="A97817"/>
          <w:sz w:val="18"/>
          <w:lang w:val="ru-RU"/>
        </w:rPr>
        <w:t xml:space="preserve">МОДЕЛЬ / E1 → E3  /  </w:t>
      </w:r>
      <w:r>
        <w:rPr>
          <w:rFonts w:ascii="Calibri" w:hAnsi="Calibri" w:eastAsia="Calibri" w:cs="Calibri"/>
          <w:b/>
          <w:color w:val="2E74B5"/>
          <w:sz w:val="32"/>
          <w:lang w:val="ru-RU"/>
        </w:rPr>
        <w:t>Динамическая модель биосферы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A97817"/>
          <w:left w:val="single" w:sz="8" w:space="0" w:color="A97817"/>
          <w:bottom w:val="single" w:sz="8" w:space="0" w:color="A97817"/>
          <w:right w:val="single" w:sz="8" w:space="0" w:color="A97817"/>
          <w:insideH w:val="single" w:sz="8" w:space="0" w:color="A97817"/>
          <w:insideV w:val="single" w:sz="8" w:space="0" w:color="A97817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FFF7E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A97817"/>
                <w:sz w:val="18"/>
                <w:lang w:val="ru-RU"/>
              </w:rPr>
              <w:t xml:space="preserve">НАУЧНАЯ ГРАНИЦА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Это проектная динамическая модель, которая должна пройти калибровку и независимую валидацию E1→E3. Она не объявляется «единым законом природы» и не подменяет наблюдаемую экосистему.</w:t>
            </w:r>
          </w:p>
        </w:tc>
      </w:tr>
    </w:tbl>
    <w:p>
      <w:pPr>
        <w:spacing w:after="4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2E74B5"/>
          <w:left w:val="single" w:sz="8" w:space="0" w:color="2E74B5"/>
          <w:bottom w:val="single" w:sz="8" w:space="0" w:color="2E74B5"/>
          <w:right w:val="single" w:sz="8" w:space="0" w:color="2E74B5"/>
          <w:insideH w:val="single" w:sz="8" w:space="0" w:color="2E74B5"/>
          <w:insideV w:val="single" w:sz="8" w:space="0" w:color="2E74B5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2E74B5"/>
                <w:sz w:val="18"/>
                <w:lang w:val="ru-RU"/>
              </w:rPr>
              <w:t xml:space="preserve">СОСТОЯНИЕ И НАБЛЮДЕНИЕ  </w:t>
            </w:r>
            <w:r>
              <w:rPr>
                <w:rFonts w:ascii="Cambria Math" w:hAnsi="Cambria Math" w:eastAsia="Cambria Math" w:cs="Cambria Math"/>
                <w:b/>
                <w:color w:val="0B2545"/>
                <w:sz w:val="24"/>
                <w:lang w:val="ru-RU"/>
              </w:rPr>
              <w:t>xₜ₊₁ = F(xₜ, uₜ, ξₜ; θ)     yₜ = H(xₜ) + εₜ</w:t>
            </w:r>
          </w:p>
        </w:tc>
      </w:tr>
    </w:tbl>
    <w:p>
      <w:pPr>
        <w:spacing w:after="4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2E74B5"/>
          <w:left w:val="single" w:sz="8" w:space="0" w:color="2E74B5"/>
          <w:bottom w:val="single" w:sz="8" w:space="0" w:color="2E74B5"/>
          <w:right w:val="single" w:sz="8" w:space="0" w:color="2E74B5"/>
          <w:insideH w:val="single" w:sz="8" w:space="0" w:color="2E74B5"/>
          <w:insideV w:val="single" w:sz="8" w:space="0" w:color="2E74B5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2E74B5"/>
                <w:sz w:val="18"/>
                <w:lang w:val="ru-RU"/>
              </w:rPr>
              <w:t xml:space="preserve">БАЛАНСОВАЯ ФОРМА  </w:t>
            </w:r>
            <w:r>
              <w:rPr>
                <w:rFonts w:ascii="Cambria Math" w:hAnsi="Cambria Math" w:eastAsia="Cambria Math" w:cs="Cambria Math"/>
                <w:b/>
                <w:color w:val="0B2545"/>
                <w:sz w:val="21"/>
                <w:lang w:val="ru-RU"/>
              </w:rPr>
              <w:t>запасₜ₊₁ = запасₜ + вход − выход + восстановление − деградация</w:t>
            </w:r>
          </w:p>
        </w:tc>
      </w:tr>
    </w:tbl>
    <w:p>
      <w:pPr>
        <w:spacing w:after="40"/>
      </w:pPr>
    </w:p>
    <w:p>
      <w:pPr>
        <w:keepNext w:val="0"/>
      </w:pPr>
      <w:r>
        <w:rPr>
          <w:rFonts w:ascii="Calibri" w:hAnsi="Calibri" w:eastAsia="Calibri" w:cs="Calibri"/>
          <w:color w:val="172B3A"/>
          <w:lang w:val="ru-RU"/>
        </w:rPr>
        <w:t>x описывает скрытое состояние, u — управляемые воздействия, ξ — внешние возмущения, θ — параметры; y — BIOC-наблюдения. Сезонность, задержки, геомасштаб и граница бассейна задаются явно. Для скрытого состояния публикуются интервал и чувствительность. Карта валидации управляет gate; BAL/FIELD/ОРИОН хранят адрес, функцию и provenance.</w:t>
      </w:r>
    </w:p>
    <w:p>
      <w:pPr>
        <w:pStyle w:val="KRPICaption"/>
        <w:keepNext/>
      </w:pPr>
      <w:r>
        <w:t>Таблица 13 — Состояния, наблюдаемость и воздействия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FD8E3"/>
          <w:left w:val="single" w:sz="6" w:space="0" w:color="CFD8E3"/>
          <w:bottom w:val="single" w:sz="6" w:space="0" w:color="CFD8E3"/>
          <w:right w:val="single" w:sz="6" w:space="0" w:color="CFD8E3"/>
          <w:insideH w:val="single" w:sz="6" w:space="0" w:color="CFD8E3"/>
          <w:insideV w:val="single" w:sz="6" w:space="0" w:color="CFD8E3"/>
        </w:tblBorders>
      </w:tblPr>
      <w:tblGrid>
        <w:gridCol w:w="1500"/>
        <w:gridCol w:w="4100"/>
        <w:gridCol w:w="3760"/>
      </w:tblGrid>
      <w:tr>
        <w:trPr>
          <w:tblHeader w:val="true"/>
          <w:cantSplit/>
        </w:trPr>
        <w:tc>
          <w:tcPr>
            <w:tcW w:type="dxa" w:w="15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5"/>
                <w:lang w:val="ru-RU"/>
              </w:rPr>
              <w:t>Состояние</w:t>
            </w:r>
          </w:p>
        </w:tc>
        <w:tc>
          <w:tcPr>
            <w:tcW w:type="dxa" w:w="41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5"/>
                <w:lang w:val="ru-RU"/>
              </w:rPr>
              <w:t>Наблюдаемые величины</w:t>
            </w:r>
          </w:p>
        </w:tc>
        <w:tc>
          <w:tcPr>
            <w:tcW w:type="dxa" w:w="37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5"/>
                <w:lang w:val="ru-RU"/>
              </w:rPr>
              <w:t>Ключевые воздействия</w:t>
            </w:r>
          </w:p>
        </w:tc>
      </w:tr>
      <w:tr>
        <w:trPr>
          <w:cantSplit/>
        </w:trP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5"/>
                <w:lang w:val="ru-RU"/>
              </w:rPr>
              <w:t>Вода</w:t>
            </w:r>
          </w:p>
        </w:tc>
        <w:tc>
          <w:tcPr>
            <w:tcW w:type="dxa" w:w="4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запас, расход, качество, температура</w:t>
            </w:r>
          </w:p>
        </w:tc>
        <w:tc>
          <w:tcPr>
            <w:tcW w:type="dxa" w:w="3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климат, забор, сброс, очистка</w:t>
            </w:r>
          </w:p>
        </w:tc>
      </w:tr>
      <w:tr>
        <w:trPr>
          <w:cantSplit/>
        </w:trPr>
        <w:tc>
          <w:tcPr>
            <w:tcW w:type="dxa" w:w="15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5"/>
                <w:lang w:val="ru-RU"/>
              </w:rPr>
              <w:t>Почва</w:t>
            </w:r>
          </w:p>
        </w:tc>
        <w:tc>
          <w:tcPr>
            <w:tcW w:type="dxa" w:w="41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влага, плотность, углерод, питательные элементы</w:t>
            </w:r>
          </w:p>
        </w:tc>
        <w:tc>
          <w:tcPr>
            <w:tcW w:type="dxa" w:w="376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землепользование, эрозия, агротехника</w:t>
            </w:r>
          </w:p>
        </w:tc>
      </w:tr>
      <w:tr>
        <w:trPr>
          <w:cantSplit/>
        </w:trP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5"/>
                <w:lang w:val="ru-RU"/>
              </w:rPr>
              <w:t>Биомасса</w:t>
            </w:r>
          </w:p>
        </w:tc>
        <w:tc>
          <w:tcPr>
            <w:tcW w:type="dxa" w:w="4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запас, продуктивность, потери</w:t>
            </w:r>
          </w:p>
        </w:tc>
        <w:tc>
          <w:tcPr>
            <w:tcW w:type="dxa" w:w="3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погода, урожай, выпас, восстановление</w:t>
            </w:r>
          </w:p>
        </w:tc>
      </w:tr>
      <w:tr>
        <w:trPr>
          <w:cantSplit/>
        </w:trPr>
        <w:tc>
          <w:tcPr>
            <w:tcW w:type="dxa" w:w="15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5"/>
                <w:lang w:val="ru-RU"/>
              </w:rPr>
              <w:t>Разнообразие</w:t>
            </w:r>
          </w:p>
        </w:tc>
        <w:tc>
          <w:tcPr>
            <w:tcW w:type="dxa" w:w="41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богатство, состав, встречаемость</w:t>
            </w:r>
          </w:p>
        </w:tc>
        <w:tc>
          <w:tcPr>
            <w:tcW w:type="dxa" w:w="376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фрагментация, загрязнение, охрана</w:t>
            </w:r>
          </w:p>
        </w:tc>
      </w:tr>
      <w:tr>
        <w:trPr>
          <w:cantSplit/>
        </w:trP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5"/>
                <w:lang w:val="ru-RU"/>
              </w:rPr>
              <w:t>Связность</w:t>
            </w:r>
          </w:p>
        </w:tc>
        <w:tc>
          <w:tcPr>
            <w:tcW w:type="dxa" w:w="4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потоки, коридоры, барьеры</w:t>
            </w:r>
          </w:p>
        </w:tc>
        <w:tc>
          <w:tcPr>
            <w:tcW w:type="dxa" w:w="3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инфраструктура, русло, управление</w:t>
            </w:r>
          </w:p>
        </w:tc>
      </w:tr>
    </w:tbl>
    <w:p>
      <w:pPr>
        <w:spacing w:before="0" w:after="80"/>
      </w:pPr>
    </w:p>
    <w:p>
      <w:pPr>
        <w:pStyle w:val="Heading2"/>
      </w:pPr>
      <w:r>
        <w:t>Четыре сценария</w:t>
      </w:r>
    </w:p>
    <w:p>
      <w:pPr>
        <w:keepNext w:val="0"/>
      </w:pPr>
      <w:r>
        <w:rPr>
          <w:rFonts w:ascii="Calibri" w:hAnsi="Calibri" w:eastAsia="Calibri" w:cs="Calibri"/>
          <w:color w:val="172B3A"/>
          <w:lang w:val="ru-RU"/>
        </w:rPr>
        <w:t>Baseline — текущий режим; Pressure — усиление климата, землепользования или загрязнения; Response — вмешательство; Recovery — восстановление. Это условные траектории; область проверяется в пилоте «бассейн—почва—ферма».</w:t>
      </w:r>
    </w:p>
    <w:p>
      <w:pPr>
        <w:pStyle w:val="KRPIList"/>
        <w:numPr>
          <w:ilvl w:val="0"/>
          <w:numId w:val="15"/>
        </w:numPr>
      </w:pPr>
      <w:r>
        <w:rPr>
          <w:rFonts w:ascii="Calibri" w:hAnsi="Calibri" w:eastAsia="Calibri" w:cs="Calibri"/>
          <w:color w:val="172B3A"/>
          <w:lang w:val="ru-RU"/>
        </w:rPr>
        <w:t>Калибровать θ на объявленном окне и фиксировать версии данных и кода.</w:t>
      </w:r>
    </w:p>
    <w:p>
      <w:pPr>
        <w:pStyle w:val="KRPIList"/>
        <w:numPr>
          <w:ilvl w:val="0"/>
          <w:numId w:val="15"/>
        </w:numPr>
      </w:pPr>
      <w:r>
        <w:rPr>
          <w:rFonts w:ascii="Calibri" w:hAnsi="Calibri" w:eastAsia="Calibri" w:cs="Calibri"/>
          <w:color w:val="172B3A"/>
          <w:lang w:val="ru-RU"/>
        </w:rPr>
        <w:t>Валидировать на другом периоде или участке, не только на обучении.</w:t>
      </w:r>
    </w:p>
    <w:p>
      <w:pPr>
        <w:pStyle w:val="KRPIList"/>
        <w:numPr>
          <w:ilvl w:val="0"/>
          <w:numId w:val="15"/>
        </w:numPr>
      </w:pPr>
      <w:r>
        <w:rPr>
          <w:rFonts w:ascii="Calibri" w:hAnsi="Calibri" w:eastAsia="Calibri" w:cs="Calibri"/>
          <w:color w:val="172B3A"/>
          <w:lang w:val="ru-RU"/>
        </w:rPr>
        <w:t>Проверять чувствительность, идентифицируемость и устойчивость к пропускам.</w:t>
      </w:r>
    </w:p>
    <w:p>
      <w:pPr>
        <w:pStyle w:val="KRPIList"/>
        <w:numPr>
          <w:ilvl w:val="0"/>
          <w:numId w:val="15"/>
        </w:numPr>
      </w:pPr>
      <w:r>
        <w:rPr>
          <w:rFonts w:ascii="Calibri" w:hAnsi="Calibri" w:eastAsia="Calibri" w:cs="Calibri"/>
          <w:color w:val="172B3A"/>
          <w:lang w:val="ru-RU"/>
        </w:rPr>
        <w:t>Остановить применение при дрейфе, выходе за область или нарушении инварианта.</w:t>
      </w:r>
    </w:p>
    <w:p>
      <w:pPr>
        <w:pStyle w:val="Heading1"/>
        <w:pageBreakBefore/>
      </w:pPr>
      <w:r>
        <w:rPr>
          <w:rFonts w:ascii="Calibri" w:hAnsi="Calibri" w:eastAsia="Calibri" w:cs="Calibri"/>
          <w:b/>
          <w:color w:val="A97817"/>
          <w:sz w:val="18"/>
          <w:lang w:val="ru-RU"/>
        </w:rPr>
        <w:t xml:space="preserve">МОДЕЛЬ / E1 → E3  /  </w:t>
      </w:r>
      <w:r>
        <w:rPr>
          <w:rFonts w:ascii="Calibri" w:hAnsi="Calibri" w:eastAsia="Calibri" w:cs="Calibri"/>
          <w:b/>
          <w:color w:val="2E74B5"/>
          <w:sz w:val="32"/>
          <w:lang w:val="ru-RU"/>
        </w:rPr>
        <w:t>Мониторинг и прогнозирование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16979A"/>
          <w:left w:val="single" w:sz="8" w:space="0" w:color="16979A"/>
          <w:bottom w:val="single" w:sz="8" w:space="0" w:color="16979A"/>
          <w:right w:val="single" w:sz="8" w:space="0" w:color="16979A"/>
          <w:insideH w:val="single" w:sz="8" w:space="0" w:color="16979A"/>
          <w:insideV w:val="single" w:sz="8" w:space="0" w:color="16979A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16979A"/>
                <w:sz w:val="18"/>
                <w:lang w:val="ru-RU"/>
              </w:rPr>
              <w:t xml:space="preserve">СКВОЗНОЙ КОНТУР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BIOC-наблюдения + дистанционное зондирование + лаборатория → QA, U и provenance → оценка состояния → вероятностный прогноз → тревога → проверка человеком.</w:t>
            </w:r>
          </w:p>
        </w:tc>
      </w:tr>
    </w:tbl>
    <w:p>
      <w:pPr>
        <w:spacing w:after="40"/>
      </w:pPr>
    </w:p>
    <w:p>
      <w:pPr>
        <w:keepNext w:val="0"/>
      </w:pPr>
      <w:r>
        <w:rPr>
          <w:rFonts w:ascii="Calibri" w:hAnsi="Calibri" w:eastAsia="Calibri" w:cs="Calibri"/>
          <w:color w:val="172B3A"/>
          <w:lang w:val="ru-RU"/>
        </w:rPr>
        <w:t>Прогноз — распределение возможных исходов при заданных данных, сценарии и версии модели. Точечное число без интервала, области применимости и baseline не допускается к решению.</w:t>
      </w:r>
    </w:p>
    <w:p>
      <w:pPr>
        <w:pStyle w:val="KRPICaption"/>
        <w:keepNext/>
      </w:pPr>
      <w:r>
        <w:t>Таблица 14 — Горизонты и проверка прогноза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FD8E3"/>
          <w:left w:val="single" w:sz="6" w:space="0" w:color="CFD8E3"/>
          <w:bottom w:val="single" w:sz="6" w:space="0" w:color="CFD8E3"/>
          <w:right w:val="single" w:sz="6" w:space="0" w:color="CFD8E3"/>
          <w:insideH w:val="single" w:sz="6" w:space="0" w:color="CFD8E3"/>
          <w:insideV w:val="single" w:sz="6" w:space="0" w:color="CFD8E3"/>
        </w:tblBorders>
      </w:tblPr>
      <w:tblGrid>
        <w:gridCol w:w="1500"/>
        <w:gridCol w:w="3150"/>
        <w:gridCol w:w="2450"/>
        <w:gridCol w:w="2260"/>
      </w:tblGrid>
      <w:tr>
        <w:trPr>
          <w:tblHeader w:val="true"/>
          <w:cantSplit/>
        </w:trPr>
        <w:tc>
          <w:tcPr>
            <w:tcW w:type="dxa" w:w="15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5"/>
                <w:lang w:val="ru-RU"/>
              </w:rPr>
              <w:t>Горизонт</w:t>
            </w:r>
          </w:p>
        </w:tc>
        <w:tc>
          <w:tcPr>
            <w:tcW w:type="dxa" w:w="31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5"/>
                <w:lang w:val="ru-RU"/>
              </w:rPr>
              <w:t>Обновление и входы</w:t>
            </w:r>
          </w:p>
        </w:tc>
        <w:tc>
          <w:tcPr>
            <w:tcW w:type="dxa" w:w="24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5"/>
                <w:lang w:val="ru-RU"/>
              </w:rPr>
              <w:t>Выход</w:t>
            </w:r>
          </w:p>
        </w:tc>
        <w:tc>
          <w:tcPr>
            <w:tcW w:type="dxa" w:w="22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5"/>
                <w:lang w:val="ru-RU"/>
              </w:rPr>
              <w:t>Решение</w:t>
            </w:r>
          </w:p>
        </w:tc>
      </w:tr>
      <w:tr>
        <w:trPr>
          <w:cantSplit/>
        </w:trP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Оперативный</w:t>
            </w:r>
          </w:p>
        </w:tc>
        <w:tc>
          <w:tcPr>
            <w:tcW w:type="dxa" w:w="3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часы—дни; датчики, ДЗЗ, тревоги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nowcast + короткий интервал</w:t>
            </w:r>
          </w:p>
        </w:tc>
        <w:tc>
          <w:tcPr>
            <w:tcW w:type="dxa" w:w="2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отбор проб, локальная реакция</w:t>
            </w:r>
          </w:p>
        </w:tc>
      </w:tr>
      <w:tr>
        <w:trPr>
          <w:cantSplit/>
        </w:trPr>
        <w:tc>
          <w:tcPr>
            <w:tcW w:type="dxa" w:w="15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Сезонный</w:t>
            </w:r>
          </w:p>
        </w:tc>
        <w:tc>
          <w:tcPr>
            <w:tcW w:type="dxa" w:w="315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недели—месяцы; погода, фенология, баланс</w:t>
            </w:r>
          </w:p>
        </w:tc>
        <w:tc>
          <w:tcPr>
            <w:tcW w:type="dxa" w:w="245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ансамбль и квантили</w:t>
            </w:r>
          </w:p>
        </w:tc>
        <w:tc>
          <w:tcPr>
            <w:tcW w:type="dxa" w:w="226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ресурсы, режим, резерв</w:t>
            </w:r>
          </w:p>
        </w:tc>
      </w:tr>
      <w:tr>
        <w:trPr>
          <w:cantSplit/>
        </w:trP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Сценарный</w:t>
            </w:r>
          </w:p>
        </w:tc>
        <w:tc>
          <w:tcPr>
            <w:tcW w:type="dxa" w:w="3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годы; допущения климата и управления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условные траектории</w:t>
            </w:r>
          </w:p>
        </w:tc>
        <w:tc>
          <w:tcPr>
            <w:tcW w:type="dxa" w:w="2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сравнение портфелей, не обещание</w:t>
            </w:r>
          </w:p>
        </w:tc>
      </w:tr>
    </w:tbl>
    <w:p>
      <w:pPr>
        <w:spacing w:before="0" w:after="80"/>
      </w:pPr>
    </w:p>
    <w:p>
      <w:pPr>
        <w:pStyle w:val="Heading2"/>
      </w:pPr>
      <w:r>
        <w:t>Паспорт прогноза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forecast_uid; целевой measurand, объект, горизонт, единица и порог события;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model_id@version, обучающее окно, baseline, входы BIOC/ДЗЗ/лаборатории и provenance;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распределение, медиана и интервалы; U наблюдений отдельно от неопределённости прогноза;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калибровка вероятностей, backtesting по времени/территории, ошибки и покрытие интервалов;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drift-флаги, область, срок действия, владелец и дата human review.</w:t>
      </w:r>
    </w:p>
    <w:p>
      <w:pPr>
        <w:pStyle w:val="Heading2"/>
      </w:pPr>
      <w:r>
        <w:t>Надзор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Дрейф замораживает автоматическое использование до повторной проверки.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Alarm сообщает вероятность и последствия, но не объявляет факт до подтверждения специалистом.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Backtesting воспроизводится на архивной версии; пересмотр не стирает прошлую ошибку.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A97817"/>
          <w:left w:val="single" w:sz="8" w:space="0" w:color="A97817"/>
          <w:bottom w:val="single" w:sz="8" w:space="0" w:color="A97817"/>
          <w:right w:val="single" w:sz="8" w:space="0" w:color="A97817"/>
          <w:insideH w:val="single" w:sz="8" w:space="0" w:color="A97817"/>
          <w:insideV w:val="single" w:sz="8" w:space="0" w:color="A97817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FFF7E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A97817"/>
                <w:sz w:val="18"/>
                <w:lang w:val="ru-RU"/>
              </w:rPr>
              <w:t xml:space="preserve">ПРИМЕР БИОСФЕРЫ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Для участка реки модель оценивает вероятность выхода концентрации выбранного вещества за утверждённый порог. Паспорт показывает интервал, калибровку, drift и источник входов; тревога инициирует пробоотбор и human review, а не необратимое решение.</w:t>
            </w:r>
          </w:p>
        </w:tc>
      </w:tr>
    </w:tbl>
    <w:p>
      <w:pPr>
        <w:spacing w:after="40"/>
      </w:pPr>
    </w:p>
    <w:p>
      <w:pPr>
        <w:pStyle w:val="Heading1"/>
        <w:pageBreakBefore/>
      </w:pPr>
      <w:r>
        <w:rPr>
          <w:rFonts w:ascii="Calibri" w:hAnsi="Calibri" w:eastAsia="Calibri" w:cs="Calibri"/>
          <w:b/>
          <w:color w:val="A97817"/>
          <w:sz w:val="18"/>
          <w:lang w:val="ru-RU"/>
        </w:rPr>
        <w:t xml:space="preserve">МОДЕЛЬ / E1 → E3  /  </w:t>
      </w:r>
      <w:r>
        <w:rPr>
          <w:rFonts w:ascii="Calibri" w:hAnsi="Calibri" w:eastAsia="Calibri" w:cs="Calibri"/>
          <w:b/>
          <w:color w:val="2E74B5"/>
          <w:sz w:val="32"/>
          <w:lang w:val="ru-RU"/>
        </w:rPr>
        <w:t>Конструирование и планирование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A97817"/>
          <w:left w:val="single" w:sz="8" w:space="0" w:color="A97817"/>
          <w:bottom w:val="single" w:sz="8" w:space="0" w:color="A97817"/>
          <w:right w:val="single" w:sz="8" w:space="0" w:color="A97817"/>
          <w:insideH w:val="single" w:sz="8" w:space="0" w:color="A97817"/>
          <w:insideV w:val="single" w:sz="8" w:space="0" w:color="A97817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FFF7E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A97817"/>
                <w:sz w:val="18"/>
                <w:lang w:val="ru-RU"/>
              </w:rPr>
              <w:t xml:space="preserve">НАЗНАЧЕНИЕ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Проектный контур превращает подтверждённые наблюдения и сценарии в обратимый портфель вмешательств. Решение остаётся за человеком; модель не имеет права на необратимое изменение экосистемы.</w:t>
            </w:r>
          </w:p>
        </w:tc>
      </w:tr>
    </w:tbl>
    <w:p>
      <w:pPr>
        <w:spacing w:after="40"/>
      </w:pPr>
    </w:p>
    <w:p>
      <w:pPr>
        <w:pStyle w:val="Heading2"/>
      </w:pPr>
      <w:r>
        <w:t>Цикл адаптивного решения</w:t>
      </w:r>
    </w:p>
    <w:p>
      <w:pPr>
        <w:pStyle w:val="KRPIList"/>
        <w:numPr>
          <w:ilvl w:val="0"/>
          <w:numId w:val="16"/>
        </w:numPr>
      </w:pPr>
      <w:r>
        <w:rPr>
          <w:rFonts w:ascii="Calibri" w:hAnsi="Calibri" w:eastAsia="Calibri" w:cs="Calibri"/>
          <w:color w:val="172B3A"/>
          <w:lang w:val="ru-RU"/>
        </w:rPr>
        <w:t>Определить целевое состояние и экологические, правовые и социальные инварианты.</w:t>
      </w:r>
    </w:p>
    <w:p>
      <w:pPr>
        <w:pStyle w:val="KRPIList"/>
        <w:numPr>
          <w:ilvl w:val="0"/>
          <w:numId w:val="16"/>
        </w:numPr>
      </w:pPr>
      <w:r>
        <w:rPr>
          <w:rFonts w:ascii="Calibri" w:hAnsi="Calibri" w:eastAsia="Calibri" w:cs="Calibri"/>
          <w:color w:val="172B3A"/>
          <w:lang w:val="ru-RU"/>
        </w:rPr>
        <w:t>Зафиксировать ограничения, неопределённости, риски и зоны запрета.</w:t>
      </w:r>
    </w:p>
    <w:p>
      <w:pPr>
        <w:pStyle w:val="KRPIList"/>
        <w:numPr>
          <w:ilvl w:val="0"/>
          <w:numId w:val="16"/>
        </w:numPr>
      </w:pPr>
      <w:r>
        <w:rPr>
          <w:rFonts w:ascii="Calibri" w:hAnsi="Calibri" w:eastAsia="Calibri" w:cs="Calibri"/>
          <w:color w:val="172B3A"/>
          <w:lang w:val="ru-RU"/>
        </w:rPr>
        <w:t>Сформировать альтернативы: не действовать, пилотировать, комбинировать или остановить.</w:t>
      </w:r>
    </w:p>
    <w:p>
      <w:pPr>
        <w:pStyle w:val="KRPIList"/>
        <w:numPr>
          <w:ilvl w:val="0"/>
          <w:numId w:val="16"/>
        </w:numPr>
      </w:pPr>
      <w:r>
        <w:rPr>
          <w:rFonts w:ascii="Calibri" w:hAnsi="Calibri" w:eastAsia="Calibri" w:cs="Calibri"/>
          <w:color w:val="172B3A"/>
          <w:lang w:val="ru-RU"/>
        </w:rPr>
        <w:t>Смоделировать сценарии и выполнить многокритериальную оценку без одного индекса.</w:t>
      </w:r>
    </w:p>
    <w:p>
      <w:pPr>
        <w:pStyle w:val="KRPIList"/>
        <w:numPr>
          <w:ilvl w:val="0"/>
          <w:numId w:val="16"/>
        </w:numPr>
      </w:pPr>
      <w:r>
        <w:rPr>
          <w:rFonts w:ascii="Calibri" w:hAnsi="Calibri" w:eastAsia="Calibri" w:cs="Calibri"/>
          <w:color w:val="172B3A"/>
          <w:lang w:val="ru-RU"/>
        </w:rPr>
        <w:t>Собрать портфель малых пилотов с контрольными участками и stop-rules.</w:t>
      </w:r>
    </w:p>
    <w:p>
      <w:pPr>
        <w:pStyle w:val="KRPIList"/>
        <w:numPr>
          <w:ilvl w:val="0"/>
          <w:numId w:val="16"/>
        </w:numPr>
      </w:pPr>
      <w:r>
        <w:rPr>
          <w:rFonts w:ascii="Calibri" w:hAnsi="Calibri" w:eastAsia="Calibri" w:cs="Calibri"/>
          <w:color w:val="172B3A"/>
          <w:lang w:val="ru-RU"/>
        </w:rPr>
        <w:t>Передать варианты, интервалы и конфликты ответственному человеку для решения.</w:t>
      </w:r>
    </w:p>
    <w:p>
      <w:pPr>
        <w:pStyle w:val="KRPIList"/>
        <w:numPr>
          <w:ilvl w:val="0"/>
          <w:numId w:val="16"/>
        </w:numPr>
      </w:pPr>
      <w:r>
        <w:rPr>
          <w:rFonts w:ascii="Calibri" w:hAnsi="Calibri" w:eastAsia="Calibri" w:cs="Calibri"/>
          <w:color w:val="172B3A"/>
          <w:lang w:val="ru-RU"/>
        </w:rPr>
        <w:t>Исполнить обратимый шаг, наблюдать BIOC-метрики и пересмотреть план.</w:t>
      </w:r>
    </w:p>
    <w:p>
      <w:pPr>
        <w:pStyle w:val="KRPICaption"/>
        <w:keepNext/>
      </w:pPr>
      <w:r>
        <w:t>Таблица 15 — Инварианты, ограничения и правила остановки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FD8E3"/>
          <w:left w:val="single" w:sz="6" w:space="0" w:color="CFD8E3"/>
          <w:bottom w:val="single" w:sz="6" w:space="0" w:color="CFD8E3"/>
          <w:right w:val="single" w:sz="6" w:space="0" w:color="CFD8E3"/>
          <w:insideH w:val="single" w:sz="6" w:space="0" w:color="CFD8E3"/>
          <w:insideV w:val="single" w:sz="6" w:space="0" w:color="CFD8E3"/>
        </w:tblBorders>
      </w:tblPr>
      <w:tblGrid>
        <w:gridCol w:w="1450"/>
        <w:gridCol w:w="4900"/>
        <w:gridCol w:w="3010"/>
      </w:tblGrid>
      <w:tr>
        <w:trPr>
          <w:tblHeader w:val="true"/>
          <w:cantSplit/>
        </w:trPr>
        <w:tc>
          <w:tcPr>
            <w:tcW w:type="dxa" w:w="14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5"/>
                <w:lang w:val="ru-RU"/>
              </w:rPr>
              <w:t>Контур</w:t>
            </w:r>
          </w:p>
        </w:tc>
        <w:tc>
          <w:tcPr>
            <w:tcW w:type="dxa" w:w="4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5"/>
                <w:lang w:val="ru-RU"/>
              </w:rPr>
              <w:t>Инвариант / ограничение</w:t>
            </w:r>
          </w:p>
        </w:tc>
        <w:tc>
          <w:tcPr>
            <w:tcW w:type="dxa" w:w="301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5"/>
                <w:lang w:val="ru-RU"/>
              </w:rPr>
              <w:t>Stop-rule или возврат</w:t>
            </w:r>
          </w:p>
        </w:tc>
      </w:tr>
      <w:tr>
        <w:trPr>
          <w:cantSplit/>
        </w:trPr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5"/>
                <w:lang w:val="ru-RU"/>
              </w:rPr>
              <w:t>Вода</w:t>
            </w:r>
          </w:p>
        </w:tc>
        <w:tc>
          <w:tcPr>
            <w:tcW w:type="dxa" w:w="4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не ухудшать показатели ниже безопасной границы</w:t>
            </w:r>
          </w:p>
        </w:tc>
        <w:tc>
          <w:tcPr>
            <w:tcW w:type="dxa" w:w="3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порог + подтверждающая проба</w:t>
            </w:r>
          </w:p>
        </w:tc>
      </w:tr>
      <w:tr>
        <w:trPr>
          <w:cantSplit/>
        </w:trPr>
        <w:tc>
          <w:tcPr>
            <w:tcW w:type="dxa" w:w="145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5"/>
                <w:lang w:val="ru-RU"/>
              </w:rPr>
              <w:t>Почва</w:t>
            </w:r>
          </w:p>
        </w:tc>
        <w:tc>
          <w:tcPr>
            <w:tcW w:type="dxa" w:w="49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не допускать необратимой потери слоя, углерода, плодородия</w:t>
            </w:r>
          </w:p>
        </w:tc>
        <w:tc>
          <w:tcPr>
            <w:tcW w:type="dxa" w:w="301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тренд вне диапазона модели</w:t>
            </w:r>
          </w:p>
        </w:tc>
      </w:tr>
      <w:tr>
        <w:trPr>
          <w:cantSplit/>
        </w:trPr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5"/>
                <w:lang w:val="ru-RU"/>
              </w:rPr>
              <w:t>Биоразнообразие</w:t>
            </w:r>
          </w:p>
        </w:tc>
        <w:tc>
          <w:tcPr>
            <w:tcW w:type="dxa" w:w="4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сохранять ключевые местообитания и связность</w:t>
            </w:r>
          </w:p>
        </w:tc>
        <w:tc>
          <w:tcPr>
            <w:tcW w:type="dxa" w:w="3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сигнал контрольного участка</w:t>
            </w:r>
          </w:p>
        </w:tc>
      </w:tr>
      <w:tr>
        <w:trPr>
          <w:cantSplit/>
        </w:trPr>
        <w:tc>
          <w:tcPr>
            <w:tcW w:type="dxa" w:w="145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5"/>
                <w:lang w:val="ru-RU"/>
              </w:rPr>
              <w:t>Люди и права</w:t>
            </w:r>
          </w:p>
        </w:tc>
        <w:tc>
          <w:tcPr>
            <w:tcW w:type="dxa" w:w="49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безопасность, согласование, доступ, отсутствие дискриминации</w:t>
            </w:r>
          </w:p>
        </w:tc>
        <w:tc>
          <w:tcPr>
            <w:tcW w:type="dxa" w:w="301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5"/>
                <w:lang w:val="ru-RU"/>
              </w:rPr>
              <w:t>нарушение права или процедуры</w:t>
            </w:r>
          </w:p>
        </w:tc>
      </w:tr>
    </w:tbl>
    <w:p>
      <w:pPr>
        <w:spacing w:before="0" w:after="80"/>
      </w:pP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Обратимые меры и контроли предшествуют масштабу; необратимые автоматические решения запрещены.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Один индекс не определяет успех: оцениваются вода, почва, биота, ресурсы, стоимость, права и устойчивость.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Модель даёт диапазоны; Карта валидации — gate; human review санкционирует действие и пересмотр.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16979A"/>
          <w:left w:val="single" w:sz="8" w:space="0" w:color="16979A"/>
          <w:bottom w:val="single" w:sz="8" w:space="0" w:color="16979A"/>
          <w:right w:val="single" w:sz="8" w:space="0" w:color="16979A"/>
          <w:insideH w:val="single" w:sz="8" w:space="0" w:color="16979A"/>
          <w:insideV w:val="single" w:sz="8" w:space="0" w:color="16979A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16979A"/>
                <w:sz w:val="18"/>
                <w:lang w:val="ru-RU"/>
              </w:rPr>
              <w:t xml:space="preserve">АРХИТЕКТУРНАЯ СВЯЗЬ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BIOC → динамическая модель → прогноз → варианты → портфель пилотов → решение → мониторинг. BAL хранит баланс целей, FIELD — функцию шага, ОРИОН — объект/место/время/риск/provenance; переходы имеют Claim ID и E1→E3.</w:t>
            </w:r>
          </w:p>
        </w:tc>
      </w:tr>
    </w:tbl>
    <w:p>
      <w:pPr>
        <w:spacing w:after="40"/>
      </w:pPr>
    </w:p>
    <w:p>
      <w:pPr>
        <w:pStyle w:val="Heading1"/>
        <w:pageBreakBefore/>
      </w:pPr>
      <w:r>
        <w:rPr>
          <w:rFonts w:ascii="Calibri" w:hAnsi="Calibri" w:eastAsia="Calibri" w:cs="Calibri"/>
          <w:b/>
          <w:color w:val="A97817"/>
          <w:sz w:val="18"/>
          <w:lang w:val="ru-RU"/>
        </w:rPr>
        <w:t xml:space="preserve">ОБЪЕКТНЫЙ КОНТУР  /  </w:t>
      </w:r>
      <w:r>
        <w:rPr>
          <w:rFonts w:ascii="Calibri" w:hAnsi="Calibri" w:eastAsia="Calibri" w:cs="Calibri"/>
          <w:b/>
          <w:color w:val="2E74B5"/>
          <w:sz w:val="32"/>
          <w:lang w:val="ru-RU"/>
        </w:rPr>
        <w:t>Пилот 1. Квантовая магнитометрия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A97817"/>
          <w:left w:val="single" w:sz="8" w:space="0" w:color="A97817"/>
          <w:bottom w:val="single" w:sz="8" w:space="0" w:color="A97817"/>
          <w:right w:val="single" w:sz="8" w:space="0" w:color="A97817"/>
          <w:insideH w:val="single" w:sz="8" w:space="0" w:color="A97817"/>
          <w:insideV w:val="single" w:sz="8" w:space="0" w:color="A97817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FFF7E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A97817"/>
                <w:sz w:val="18"/>
                <w:lang w:val="ru-RU"/>
              </w:rPr>
              <w:t xml:space="preserve">СТАТУС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Проектный пилот; наличие конкретного оборудования, площадки и партнёра не предполагается до инвентаризации и утверждения протокола.</w:t>
            </w:r>
          </w:p>
        </w:tc>
      </w:tr>
    </w:tbl>
    <w:p>
      <w:pPr>
        <w:spacing w:after="40"/>
      </w:pPr>
    </w:p>
    <w:p>
      <w:pPr>
        <w:keepNext w:val="0"/>
      </w:pPr>
      <w:r>
        <w:rPr>
          <w:rFonts w:ascii="Calibri" w:hAnsi="Calibri" w:eastAsia="Calibri" w:cs="Calibri"/>
          <w:color w:val="172B3A"/>
          <w:lang w:val="ru-RU"/>
        </w:rPr>
        <w:t>Цель — сопоставить квантовый и классический каналы измерения магнитной индукции B в одном диапазоне, на одной геометрии и по единому бюджету неопределённости. Возможная архитектура выбирается после обзора готовности: атомный магнитометр, NV-центр или иной квантовый сенсор.</w:t>
      </w:r>
    </w:p>
    <w:p>
      <w:pPr>
        <w:pStyle w:val="KRPICaption"/>
        <w:keepNext/>
      </w:pPr>
      <w:r>
        <w:t>Таблица 16 — Паспорт проектирования пилота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FD8E3"/>
          <w:left w:val="single" w:sz="6" w:space="0" w:color="CFD8E3"/>
          <w:bottom w:val="single" w:sz="6" w:space="0" w:color="CFD8E3"/>
          <w:right w:val="single" w:sz="6" w:space="0" w:color="CFD8E3"/>
          <w:insideH w:val="single" w:sz="6" w:space="0" w:color="CFD8E3"/>
          <w:insideV w:val="single" w:sz="6" w:space="0" w:color="CFD8E3"/>
        </w:tblBorders>
      </w:tblPr>
      <w:tblGrid>
        <w:gridCol w:w="1600"/>
        <w:gridCol w:w="4900"/>
        <w:gridCol w:w="2860"/>
      </w:tblGrid>
      <w:tr>
        <w:trPr>
          <w:tblHeader w:val="true"/>
          <w:cantSplit/>
        </w:trPr>
        <w:tc>
          <w:tcPr>
            <w:tcW w:type="dxa" w:w="16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7"/>
                <w:lang w:val="ru-RU"/>
              </w:rPr>
              <w:t>Элемент</w:t>
            </w:r>
          </w:p>
        </w:tc>
        <w:tc>
          <w:tcPr>
            <w:tcW w:type="dxa" w:w="4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7"/>
                <w:lang w:val="ru-RU"/>
              </w:rPr>
              <w:t>Проектное решение</w:t>
            </w:r>
          </w:p>
        </w:tc>
        <w:tc>
          <w:tcPr>
            <w:tcW w:type="dxa" w:w="28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7"/>
                <w:lang w:val="ru-RU"/>
              </w:rPr>
              <w:t>Критерий приёмки</w:t>
            </w:r>
          </w:p>
        </w:tc>
      </w:tr>
      <w:tr>
        <w:trPr>
          <w:cantSplit/>
        </w:trPr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7"/>
                <w:lang w:val="ru-RU"/>
              </w:rPr>
              <w:t>Measurand</w:t>
            </w:r>
          </w:p>
        </w:tc>
        <w:tc>
          <w:tcPr>
            <w:tcW w:type="dxa" w:w="4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B в tesla; диапазон, полоса, ориентация и объём усреднения</w:t>
            </w:r>
          </w:p>
        </w:tc>
        <w:tc>
          <w:tcPr>
            <w:tcW w:type="dxa" w:w="2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Одно определение для обоих трактов</w:t>
            </w:r>
          </w:p>
        </w:tc>
      </w:tr>
      <w:tr>
        <w:trPr>
          <w:cantSplit/>
        </w:trPr>
        <w:tc>
          <w:tcPr>
            <w:tcW w:type="dxa" w:w="16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7"/>
                <w:lang w:val="ru-RU"/>
              </w:rPr>
              <w:t>База</w:t>
            </w:r>
          </w:p>
        </w:tc>
        <w:tc>
          <w:tcPr>
            <w:tcW w:type="dxa" w:w="49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Калиброванный классический магнитометр и генератор/эталон поля</w:t>
            </w:r>
          </w:p>
        </w:tc>
        <w:tc>
          <w:tcPr>
            <w:tcW w:type="dxa" w:w="286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Документированная прослеживаемость</w:t>
            </w:r>
          </w:p>
        </w:tc>
      </w:tr>
      <w:tr>
        <w:trPr>
          <w:cantSplit/>
        </w:trPr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7"/>
                <w:lang w:val="ru-RU"/>
              </w:rPr>
              <w:t>Квантовый канал</w:t>
            </w:r>
          </w:p>
        </w:tc>
        <w:tc>
          <w:tcPr>
            <w:tcW w:type="dxa" w:w="4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Выбранный сенсор с независимым считыванием</w:t>
            </w:r>
          </w:p>
        </w:tc>
        <w:tc>
          <w:tcPr>
            <w:tcW w:type="dxa" w:w="2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Полный бюджет, а не только шумовой спектр</w:t>
            </w:r>
          </w:p>
        </w:tc>
      </w:tr>
      <w:tr>
        <w:trPr>
          <w:cantSplit/>
        </w:trPr>
        <w:tc>
          <w:tcPr>
            <w:tcW w:type="dxa" w:w="16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7"/>
                <w:lang w:val="ru-RU"/>
              </w:rPr>
              <w:t>Возмущения</w:t>
            </w:r>
          </w:p>
        </w:tc>
        <w:tc>
          <w:tcPr>
            <w:tcW w:type="dxa" w:w="49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Температура, вибрация, экранирование, градиент и мёртвое время</w:t>
            </w:r>
          </w:p>
        </w:tc>
        <w:tc>
          <w:tcPr>
            <w:tcW w:type="dxa" w:w="286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Записаны синхронно с результатом</w:t>
            </w:r>
          </w:p>
        </w:tc>
      </w:tr>
      <w:tr>
        <w:trPr>
          <w:cantSplit/>
        </w:trPr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7"/>
                <w:lang w:val="ru-RU"/>
              </w:rPr>
              <w:t>Результат</w:t>
            </w:r>
          </w:p>
        </w:tc>
        <w:tc>
          <w:tcPr>
            <w:tcW w:type="dxa" w:w="4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Кривая неопределённости и предела обнаружения по диапазону</w:t>
            </w:r>
          </w:p>
        </w:tc>
        <w:tc>
          <w:tcPr>
            <w:tcW w:type="dxa" w:w="2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E2; затем внешнее воспроизведение E3</w:t>
            </w:r>
          </w:p>
        </w:tc>
      </w:tr>
    </w:tbl>
    <w:p>
      <w:pPr>
        <w:spacing w:before="0" w:after="80"/>
      </w:pPr>
    </w:p>
    <w:p>
      <w:pPr>
        <w:pStyle w:val="Heading2"/>
      </w:pPr>
      <w:r>
        <w:t>Решение после 90 дней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Выбрать один measurand и отказаться от универсальных обещаний «квантового датчика для всего».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Утвердить слепой набор тестов, классический эталон и критерии выигрыша до эксперимента.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Зафиксировать stop-rule: пилот закрывается или переопределяется, если полная неопределённость и ценность решения не улучшаются.</w:t>
      </w:r>
    </w:p>
    <w:p>
      <w:pPr>
        <w:pStyle w:val="Heading1"/>
        <w:pageBreakBefore/>
      </w:pPr>
      <w:r>
        <w:rPr>
          <w:rFonts w:ascii="Calibri" w:hAnsi="Calibri" w:eastAsia="Calibri" w:cs="Calibri"/>
          <w:b/>
          <w:color w:val="A97817"/>
          <w:sz w:val="18"/>
          <w:lang w:val="ru-RU"/>
        </w:rPr>
        <w:t xml:space="preserve">БИОЦЕНОЗ  /  </w:t>
      </w:r>
      <w:r>
        <w:rPr>
          <w:rFonts w:ascii="Calibri" w:hAnsi="Calibri" w:eastAsia="Calibri" w:cs="Calibri"/>
          <w:b/>
          <w:color w:val="2E74B5"/>
          <w:sz w:val="32"/>
          <w:lang w:val="ru-RU"/>
        </w:rPr>
        <w:t>Пилот 2. Вода, почва и ферма полного цикла</w:t>
      </w:r>
    </w:p>
    <w:p>
      <w:pPr>
        <w:keepNext w:val="0"/>
      </w:pPr>
      <w:r>
        <w:rPr>
          <w:rFonts w:ascii="Calibri" w:hAnsi="Calibri" w:eastAsia="Calibri" w:cs="Calibri"/>
          <w:color w:val="172B3A"/>
          <w:lang w:val="ru-RU"/>
        </w:rPr>
        <w:t>Цель — не «измерить здоровье природы одним числом», а построить согласованную сеть наблюдений материальных и энергетических потоков. Квантовые сенсоры включаются только там, где дают доказуемый прирост; основа пилота — корректный отбор проб, калиброванные классические средства, геопривязка и экологическая интерпретация.</w:t>
      </w:r>
    </w:p>
    <w:p>
      <w:pPr>
        <w:pStyle w:val="KRPICaption"/>
        <w:keepNext/>
      </w:pPr>
      <w:r>
        <w:t>Таблица 17 — Минимальный набор измерений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FD8E3"/>
          <w:left w:val="single" w:sz="6" w:space="0" w:color="CFD8E3"/>
          <w:bottom w:val="single" w:sz="6" w:space="0" w:color="CFD8E3"/>
          <w:right w:val="single" w:sz="6" w:space="0" w:color="CFD8E3"/>
          <w:insideH w:val="single" w:sz="6" w:space="0" w:color="CFD8E3"/>
          <w:insideV w:val="single" w:sz="6" w:space="0" w:color="CFD8E3"/>
        </w:tblBorders>
      </w:tblPr>
      <w:tblGrid>
        <w:gridCol w:w="1200"/>
        <w:gridCol w:w="3330"/>
        <w:gridCol w:w="2350"/>
        <w:gridCol w:w="2480"/>
      </w:tblGrid>
      <w:tr>
        <w:trPr>
          <w:tblHeader w:val="true"/>
          <w:cantSplit/>
        </w:trPr>
        <w:tc>
          <w:tcPr>
            <w:tcW w:type="dxa" w:w="12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6"/>
                <w:lang w:val="ru-RU"/>
              </w:rPr>
              <w:t>Контур</w:t>
            </w:r>
          </w:p>
        </w:tc>
        <w:tc>
          <w:tcPr>
            <w:tcW w:type="dxa" w:w="333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6"/>
                <w:lang w:val="ru-RU"/>
              </w:rPr>
              <w:t>Измеряемые величины</w:t>
            </w:r>
          </w:p>
        </w:tc>
        <w:tc>
          <w:tcPr>
            <w:tcW w:type="dxa" w:w="23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6"/>
                <w:lang w:val="ru-RU"/>
              </w:rPr>
              <w:t>Пространство/время</w:t>
            </w:r>
          </w:p>
        </w:tc>
        <w:tc>
          <w:tcPr>
            <w:tcW w:type="dxa" w:w="248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6"/>
                <w:lang w:val="ru-RU"/>
              </w:rPr>
              <w:t>Решение</w:t>
            </w:r>
          </w:p>
        </w:tc>
      </w:tr>
      <w:tr>
        <w:trPr>
          <w:cantSplit/>
        </w:trP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Вода</w:t>
            </w:r>
          </w:p>
        </w:tc>
        <w:tc>
          <w:tcPr>
            <w:tcW w:type="dxa" w:w="33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расход, температура, электропроводность, мутность, выбранные загрязнители</w:t>
            </w:r>
          </w:p>
        </w:tc>
        <w:tc>
          <w:tcPr>
            <w:tcW w:type="dxa" w:w="2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вход—процесс—выход; сезон</w:t>
            </w:r>
          </w:p>
        </w:tc>
        <w:tc>
          <w:tcPr>
            <w:tcW w:type="dxa" w:w="24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водный баланс и очистка</w:t>
            </w:r>
          </w:p>
        </w:tc>
      </w:tr>
      <w:tr>
        <w:trPr>
          <w:cantSplit/>
        </w:trPr>
        <w:tc>
          <w:tcPr>
            <w:tcW w:type="dxa" w:w="12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Почва</w:t>
            </w:r>
          </w:p>
        </w:tc>
        <w:tc>
          <w:tcPr>
            <w:tcW w:type="dxa" w:w="333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влажность, объёмная плотность, pH, углерод, питательные элементы</w:t>
            </w:r>
          </w:p>
        </w:tc>
        <w:tc>
          <w:tcPr>
            <w:tcW w:type="dxa" w:w="235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слой, участок, дата, метод отбора</w:t>
            </w:r>
          </w:p>
        </w:tc>
        <w:tc>
          <w:tcPr>
            <w:tcW w:type="dxa" w:w="248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регенерация и агротехника</w:t>
            </w:r>
          </w:p>
        </w:tc>
      </w:tr>
      <w:tr>
        <w:trPr>
          <w:cantSplit/>
        </w:trP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Биомасса</w:t>
            </w:r>
          </w:p>
        </w:tc>
        <w:tc>
          <w:tcPr>
            <w:tcW w:type="dxa" w:w="33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масса, продуктивность, потери, качество</w:t>
            </w:r>
          </w:p>
        </w:tc>
        <w:tc>
          <w:tcPr>
            <w:tcW w:type="dxa" w:w="2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партия и цикл</w:t>
            </w:r>
          </w:p>
        </w:tc>
        <w:tc>
          <w:tcPr>
            <w:tcW w:type="dxa" w:w="24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полный материальный баланс</w:t>
            </w:r>
          </w:p>
        </w:tc>
      </w:tr>
      <w:tr>
        <w:trPr>
          <w:cantSplit/>
        </w:trPr>
        <w:tc>
          <w:tcPr>
            <w:tcW w:type="dxa" w:w="12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Энергия</w:t>
            </w:r>
          </w:p>
        </w:tc>
        <w:tc>
          <w:tcPr>
            <w:tcW w:type="dxa" w:w="333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потребление, генерация, тепловые потоки</w:t>
            </w:r>
          </w:p>
        </w:tc>
        <w:tc>
          <w:tcPr>
            <w:tcW w:type="dxa" w:w="235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узел и интервал</w:t>
            </w:r>
          </w:p>
        </w:tc>
        <w:tc>
          <w:tcPr>
            <w:tcW w:type="dxa" w:w="248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ресурсоэффективность</w:t>
            </w:r>
          </w:p>
        </w:tc>
      </w:tr>
      <w:tr>
        <w:trPr>
          <w:cantSplit/>
        </w:trP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Данные</w:t>
            </w:r>
          </w:p>
        </w:tc>
        <w:tc>
          <w:tcPr>
            <w:tcW w:type="dxa" w:w="33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доля валидных наблюдений, пропуски, задержка, версии</w:t>
            </w:r>
          </w:p>
        </w:tc>
        <w:tc>
          <w:tcPr>
            <w:tcW w:type="dxa" w:w="2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датчик—узел—GRID</w:t>
            </w:r>
          </w:p>
        </w:tc>
        <w:tc>
          <w:tcPr>
            <w:tcW w:type="dxa" w:w="24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пригодность для управления</w:t>
            </w:r>
          </w:p>
        </w:tc>
      </w:tr>
    </w:tbl>
    <w:p>
      <w:pPr>
        <w:spacing w:before="0" w:after="8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16979A"/>
          <w:left w:val="single" w:sz="8" w:space="0" w:color="16979A"/>
          <w:bottom w:val="single" w:sz="8" w:space="0" w:color="16979A"/>
          <w:right w:val="single" w:sz="8" w:space="0" w:color="16979A"/>
          <w:insideH w:val="single" w:sz="8" w:space="0" w:color="16979A"/>
          <w:insideV w:val="single" w:sz="8" w:space="0" w:color="16979A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16979A"/>
                <w:sz w:val="18"/>
                <w:lang w:val="ru-RU"/>
              </w:rPr>
              <w:t xml:space="preserve">ЭКОЛОГИЧЕСКАЯ ГРАНИЦА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Оптимизация урожайности не считается успехом, если ухудшены качество воды, почвенный углерод, биоразнообразие, безопасность труда или долгосрочная воспроизводимость участка.</w:t>
            </w:r>
          </w:p>
        </w:tc>
      </w:tr>
    </w:tbl>
    <w:p>
      <w:pPr>
        <w:spacing w:after="40"/>
      </w:pP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База — минимум один полный сезон или обоснованный исторический ряд.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Единица анализа — объект/участок/слой/интервал; агрегирование сохраняет исходную гранулярность.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Публикуются и положительные, и нулевые результаты; исключение данных требует журнала причин.</w:t>
      </w:r>
    </w:p>
    <w:p>
      <w:pPr>
        <w:pStyle w:val="Heading1"/>
        <w:pageBreakBefore/>
      </w:pPr>
      <w:r>
        <w:rPr>
          <w:rFonts w:ascii="Calibri" w:hAnsi="Calibri" w:eastAsia="Calibri" w:cs="Calibri"/>
          <w:b/>
          <w:color w:val="A97817"/>
          <w:sz w:val="18"/>
          <w:lang w:val="ru-RU"/>
        </w:rPr>
        <w:t xml:space="preserve">ИНФРАСТРУКТУРА  /  </w:t>
      </w:r>
      <w:r>
        <w:rPr>
          <w:rFonts w:ascii="Calibri" w:hAnsi="Calibri" w:eastAsia="Calibri" w:cs="Calibri"/>
          <w:b/>
          <w:color w:val="2E74B5"/>
          <w:sz w:val="32"/>
          <w:lang w:val="ru-RU"/>
        </w:rPr>
        <w:t>Пилот 3. Федеративный GRID измерений</w:t>
      </w:r>
    </w:p>
    <w:p>
      <w:pPr>
        <w:keepNext w:val="0"/>
      </w:pPr>
      <w:r>
        <w:rPr>
          <w:rFonts w:ascii="Calibri" w:hAnsi="Calibri" w:eastAsia="Calibri" w:cs="Calibri"/>
          <w:color w:val="172B3A"/>
          <w:lang w:val="ru-RU"/>
        </w:rPr>
        <w:t>Три независимых узла обмениваются не обезличенными числами, а паспортированными результатами. Сырые данные могут оставаться у владельца; наружу передаются согласованные метаданные, результат, неопределённость, происхождение и доказательство выполнения тестов.</w:t>
      </w:r>
    </w:p>
    <w:p>
      <w:pPr>
        <w:pStyle w:val="KRPICaption"/>
        <w:keepNext/>
      </w:pPr>
      <w:r>
        <w:t>Таблица 18 — Архитектура минимальной федерации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FD8E3"/>
          <w:left w:val="single" w:sz="6" w:space="0" w:color="CFD8E3"/>
          <w:bottom w:val="single" w:sz="6" w:space="0" w:color="CFD8E3"/>
          <w:right w:val="single" w:sz="6" w:space="0" w:color="CFD8E3"/>
          <w:insideH w:val="single" w:sz="6" w:space="0" w:color="CFD8E3"/>
          <w:insideV w:val="single" w:sz="6" w:space="0" w:color="CFD8E3"/>
        </w:tblBorders>
      </w:tblPr>
      <w:tblGrid>
        <w:gridCol w:w="1800"/>
        <w:gridCol w:w="4300"/>
        <w:gridCol w:w="3260"/>
      </w:tblGrid>
      <w:tr>
        <w:trPr>
          <w:tblHeader w:val="true"/>
          <w:cantSplit/>
        </w:trPr>
        <w:tc>
          <w:tcPr>
            <w:tcW w:type="dxa" w:w="18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7"/>
                <w:lang w:val="ru-RU"/>
              </w:rPr>
              <w:t>Слой</w:t>
            </w:r>
          </w:p>
        </w:tc>
        <w:tc>
          <w:tcPr>
            <w:tcW w:type="dxa" w:w="43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7"/>
                <w:lang w:val="ru-RU"/>
              </w:rPr>
              <w:t>Функция</w:t>
            </w:r>
          </w:p>
        </w:tc>
        <w:tc>
          <w:tcPr>
            <w:tcW w:type="dxa" w:w="32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7"/>
                <w:lang w:val="ru-RU"/>
              </w:rPr>
              <w:t>Обязательный контроль</w:t>
            </w:r>
          </w:p>
        </w:tc>
      </w:tr>
      <w:tr>
        <w:trPr>
          <w:cantSplit/>
        </w:trP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7"/>
                <w:lang w:val="ru-RU"/>
              </w:rPr>
              <w:t>Узел A — измерение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Получение первичных данных и локальная калибровка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время, оборудование, checksum, журнал исключений</w:t>
            </w:r>
          </w:p>
        </w:tc>
      </w:tr>
      <w:tr>
        <w:trPr>
          <w:cantSplit/>
        </w:trPr>
        <w:tc>
          <w:tcPr>
            <w:tcW w:type="dxa" w:w="18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7"/>
                <w:lang w:val="ru-RU"/>
              </w:rPr>
              <w:t>Узел B — вычисление</w:t>
            </w:r>
          </w:p>
        </w:tc>
        <w:tc>
          <w:tcPr>
            <w:tcW w:type="dxa" w:w="43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Независимое воспроизведение расчёта из переданного пакета</w:t>
            </w:r>
          </w:p>
        </w:tc>
        <w:tc>
          <w:tcPr>
            <w:tcW w:type="dxa" w:w="326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контейнер/код, версия, тесты, детерминизм</w:t>
            </w:r>
          </w:p>
        </w:tc>
      </w:tr>
      <w:tr>
        <w:trPr>
          <w:cantSplit/>
        </w:trP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7"/>
                <w:lang w:val="ru-RU"/>
              </w:rPr>
              <w:t>Узел C — верификация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Слепая проверка результата и бюджета неопределённости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критерии до раскрытия результата</w:t>
            </w:r>
          </w:p>
        </w:tc>
      </w:tr>
      <w:tr>
        <w:trPr>
          <w:cantSplit/>
        </w:trPr>
        <w:tc>
          <w:tcPr>
            <w:tcW w:type="dxa" w:w="18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7"/>
                <w:lang w:val="ru-RU"/>
              </w:rPr>
              <w:t>Метареестр</w:t>
            </w:r>
          </w:p>
        </w:tc>
        <w:tc>
          <w:tcPr>
            <w:tcW w:type="dxa" w:w="43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UID, схемы, crosswalk, статусы E0–E4 и Z0–Z4</w:t>
            </w:r>
          </w:p>
        </w:tc>
        <w:tc>
          <w:tcPr>
            <w:tcW w:type="dxa" w:w="326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неизменяемый журнал версий</w:t>
            </w:r>
          </w:p>
        </w:tc>
      </w:tr>
      <w:tr>
        <w:trPr>
          <w:cantSplit/>
        </w:trP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/>
                <w:color w:val="172B3A"/>
                <w:sz w:val="17"/>
                <w:lang w:val="ru-RU"/>
              </w:rPr>
              <w:t>Архив наследия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Долговременное хранение пакета доказательств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7"/>
                <w:lang w:val="ru-RU"/>
              </w:rPr>
              <w:t>права, формат, миграция, контроль целостности</w:t>
            </w:r>
          </w:p>
        </w:tc>
      </w:tr>
    </w:tbl>
    <w:p>
      <w:pPr>
        <w:spacing w:before="0" w:after="80"/>
      </w:pPr>
    </w:p>
    <w:p>
      <w:pPr>
        <w:pStyle w:val="Heading2"/>
      </w:pPr>
      <w:r>
        <w:t>Проверки совместимости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Одинаковая единица не гарантирует одинаковый measurand: сравниваются определения, область и метод.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Crosswalk exact разрешается только после независимой проверки; close и composite не применяются автоматически.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Round-trip тест подтверждает, что преобразование туда и обратно не меняет смысл критических полей.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Человеческий владелец решения остаётся явным; ИИ предлагает аномалии и гипотезы, но не повышает evidence level.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A97817"/>
          <w:left w:val="single" w:sz="8" w:space="0" w:color="A97817"/>
          <w:bottom w:val="single" w:sz="8" w:space="0" w:color="A97817"/>
          <w:right w:val="single" w:sz="8" w:space="0" w:color="A97817"/>
          <w:insideH w:val="single" w:sz="8" w:space="0" w:color="A97817"/>
          <w:insideV w:val="single" w:sz="8" w:space="0" w:color="A97817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FFF7E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A97817"/>
                <w:sz w:val="18"/>
                <w:lang w:val="ru-RU"/>
              </w:rPr>
              <w:t xml:space="preserve">КРИТЕРИЙ ПИЛОТА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Не менее двух узлов воспроизводят расчёт в пределах согласованной неопределённости; третий подтверждает целостность происхождения и прохождение слепых тестов.</w:t>
            </w:r>
          </w:p>
        </w:tc>
      </w:tr>
    </w:tbl>
    <w:p>
      <w:pPr>
        <w:spacing w:after="40"/>
      </w:pPr>
    </w:p>
    <w:p>
      <w:pPr>
        <w:pStyle w:val="Heading1"/>
        <w:pageBreakBefore/>
      </w:pPr>
      <w:r>
        <w:rPr>
          <w:rFonts w:ascii="Calibri" w:hAnsi="Calibri" w:eastAsia="Calibri" w:cs="Calibri"/>
          <w:b/>
          <w:color w:val="A97817"/>
          <w:sz w:val="18"/>
          <w:lang w:val="ru-RU"/>
        </w:rPr>
        <w:t xml:space="preserve">0–36 МЕСЯЦЕВ  /  </w:t>
      </w:r>
      <w:r>
        <w:rPr>
          <w:rFonts w:ascii="Calibri" w:hAnsi="Calibri" w:eastAsia="Calibri" w:cs="Calibri"/>
          <w:b/>
          <w:color w:val="2E74B5"/>
          <w:sz w:val="32"/>
          <w:lang w:val="ru-RU"/>
        </w:rPr>
        <w:t>Дорожная карта, управление и решение</w:t>
      </w:r>
    </w:p>
    <w:p>
      <w:pPr>
        <w:pStyle w:val="KRPICaption"/>
        <w:keepNext/>
      </w:pPr>
      <w:r>
        <w:t>Таблица 19 — Этапы без преждевременного масштабирования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FD8E3"/>
          <w:left w:val="single" w:sz="6" w:space="0" w:color="CFD8E3"/>
          <w:bottom w:val="single" w:sz="6" w:space="0" w:color="CFD8E3"/>
          <w:right w:val="single" w:sz="6" w:space="0" w:color="CFD8E3"/>
          <w:insideH w:val="single" w:sz="6" w:space="0" w:color="CFD8E3"/>
          <w:insideV w:val="single" w:sz="6" w:space="0" w:color="CFD8E3"/>
        </w:tblBorders>
      </w:tblPr>
      <w:tblGrid>
        <w:gridCol w:w="1250"/>
        <w:gridCol w:w="5400"/>
        <w:gridCol w:w="2710"/>
      </w:tblGrid>
      <w:tr>
        <w:trPr>
          <w:tblHeader w:val="true"/>
          <w:cantSplit/>
        </w:trPr>
        <w:tc>
          <w:tcPr>
            <w:tcW w:type="dxa" w:w="12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6"/>
                <w:lang w:val="ru-RU"/>
              </w:rPr>
              <w:t>Срок</w:t>
            </w:r>
          </w:p>
        </w:tc>
        <w:tc>
          <w:tcPr>
            <w:tcW w:type="dxa" w:w="54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6"/>
                <w:lang w:val="ru-RU"/>
              </w:rPr>
              <w:t>Результат</w:t>
            </w:r>
          </w:p>
        </w:tc>
        <w:tc>
          <w:tcPr>
            <w:tcW w:type="dxa" w:w="271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0B2545"/>
                <w:sz w:val="16"/>
                <w:lang w:val="ru-RU"/>
              </w:rPr>
              <w:t>Шлюз</w:t>
            </w:r>
          </w:p>
        </w:tc>
      </w:tr>
      <w:tr>
        <w:trPr>
          <w:cantSplit/>
        </w:trPr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0–3 мес.</w:t>
            </w:r>
          </w:p>
        </w:tc>
        <w:tc>
          <w:tcPr>
            <w:tcW w:type="dxa" w:w="5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словари, Карта валидации, BIOC 1.0, паспорта и протоколы трёх пилотов</w:t>
            </w:r>
          </w:p>
        </w:tc>
        <w:tc>
          <w:tcPr>
            <w:tcW w:type="dxa" w:w="27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утверждены measurand, владельцы и gates</w:t>
            </w:r>
          </w:p>
        </w:tc>
      </w:tr>
      <w:tr>
        <w:trPr>
          <w:cantSplit/>
        </w:trPr>
        <w:tc>
          <w:tcPr>
            <w:tcW w:type="dxa" w:w="125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4–9 мес.</w:t>
            </w:r>
          </w:p>
        </w:tc>
        <w:tc>
          <w:tcPr>
            <w:tcW w:type="dxa" w:w="54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бюджеты U, динамическая модель, паспорт прогноза, стенд и backtesting</w:t>
            </w:r>
          </w:p>
        </w:tc>
        <w:tc>
          <w:tcPr>
            <w:tcW w:type="dxa" w:w="271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внутренняя техническая экспертиза</w:t>
            </w:r>
          </w:p>
        </w:tc>
      </w:tr>
      <w:tr>
        <w:trPr>
          <w:cantSplit/>
        </w:trPr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10–18 мес.</w:t>
            </w:r>
          </w:p>
        </w:tc>
        <w:tc>
          <w:tcPr>
            <w:tcW w:type="dxa" w:w="5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три обратимых пилота, слепые тесты, E2, экологическая/этическая оценка</w:t>
            </w:r>
          </w:p>
        </w:tc>
        <w:tc>
          <w:tcPr>
            <w:tcW w:type="dxa" w:w="27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human review и решение о внешней проверке</w:t>
            </w:r>
          </w:p>
        </w:tc>
      </w:tr>
      <w:tr>
        <w:trPr>
          <w:cantSplit/>
        </w:trPr>
        <w:tc>
          <w:tcPr>
            <w:tcW w:type="dxa" w:w="125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19–27 мес.</w:t>
            </w:r>
          </w:p>
        </w:tc>
        <w:tc>
          <w:tcPr>
            <w:tcW w:type="dxa" w:w="540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федерация узлов, межлабораторные сравнения, результаты E3</w:t>
            </w:r>
          </w:p>
        </w:tc>
        <w:tc>
          <w:tcPr>
            <w:tcW w:type="dxa" w:w="2710"/>
            <w:shd w:fill="F9FBFC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независимый совет подтверждает область</w:t>
            </w:r>
          </w:p>
        </w:tc>
      </w:tr>
      <w:tr>
        <w:trPr>
          <w:cantSplit/>
        </w:trPr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center"/>
            </w:pPr>
            <w:r/>
            <w:r>
              <w:rPr>
                <w:rFonts w:ascii="Calibri" w:hAnsi="Calibri" w:eastAsia="Calibri" w:cs="Calibri"/>
                <w:b/>
                <w:color w:val="172B3A"/>
                <w:sz w:val="16"/>
                <w:lang w:val="ru-RU"/>
              </w:rPr>
              <w:t>28–36 мес.</w:t>
            </w:r>
          </w:p>
        </w:tc>
        <w:tc>
          <w:tcPr>
            <w:tcW w:type="dxa" w:w="5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эксплуатационный протокол, надзор дрейфа, стоимость владения, решение о масштабе</w:t>
            </w:r>
          </w:p>
        </w:tc>
        <w:tc>
          <w:tcPr>
            <w:tcW w:type="dxa" w:w="27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KRPITable"/>
              <w:spacing w:after="0"/>
              <w:jc w:val="left"/>
            </w:pPr>
            <w:r/>
            <w:r>
              <w:rPr>
                <w:rFonts w:ascii="Calibri" w:hAnsi="Calibri" w:eastAsia="Calibri" w:cs="Calibri"/>
                <w:b w:val="0"/>
                <w:color w:val="172B3A"/>
                <w:sz w:val="16"/>
                <w:lang w:val="ru-RU"/>
              </w:rPr>
              <w:t>E4 только в проверенном диапазоне</w:t>
            </w:r>
          </w:p>
        </w:tc>
      </w:tr>
    </w:tbl>
    <w:p>
      <w:pPr>
        <w:spacing w:before="0" w:after="80"/>
      </w:pPr>
    </w:p>
    <w:p>
      <w:pPr>
        <w:pStyle w:val="Heading2"/>
      </w:pPr>
      <w:r>
        <w:t>Разделение ролей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Научный руководитель отвечает за гипотезу и интерпретацию; метролог — за measurand, модель, прослеживаемость и неопределённость.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Владелец данных отвечает за качество, права и сохранность; независимый верификатор не входит в команду, получающую выгоду от успеха.</w:t>
      </w:r>
    </w:p>
    <w:p>
      <w:pPr>
        <w:pStyle w:val="KRPIList"/>
        <w:numPr>
          <w:ilvl w:val="0"/>
          <w:numId w:val="10"/>
        </w:numPr>
      </w:pPr>
      <w:r>
        <w:rPr>
          <w:rFonts w:ascii="Calibri" w:hAnsi="Calibri" w:eastAsia="Calibri" w:cs="Calibri"/>
          <w:color w:val="172B3A"/>
          <w:lang w:val="ru-RU"/>
        </w:rPr>
        <w:t>Этический и экологический контур имеет право остановки; редакционный совет Белой Книги утверждает только статус публикации, не научный результат.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16979A"/>
          <w:left w:val="single" w:sz="8" w:space="0" w:color="16979A"/>
          <w:bottom w:val="single" w:sz="8" w:space="0" w:color="16979A"/>
          <w:right w:val="single" w:sz="8" w:space="0" w:color="16979A"/>
          <w:insideH w:val="single" w:sz="8" w:space="0" w:color="16979A"/>
          <w:insideV w:val="single" w:sz="8" w:space="0" w:color="16979A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E8F5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16979A"/>
                <w:sz w:val="18"/>
                <w:lang w:val="ru-RU"/>
              </w:rPr>
              <w:t xml:space="preserve">РЕШЕНИЕ НА 90 ДНЕЙ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Санкционировать фазу проектирования: выпустить словарь 1.0, шаблон паспорта, три протокола, базовые линии, карту рисков и независимый план проверки. Закупка и масштабирование — только после шлюза.</w:t>
            </w:r>
          </w:p>
        </w:tc>
      </w:tr>
    </w:tbl>
    <w:p>
      <w:pPr>
        <w:spacing w:after="4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A97817"/>
          <w:left w:val="single" w:sz="8" w:space="0" w:color="A97817"/>
          <w:bottom w:val="single" w:sz="8" w:space="0" w:color="A97817"/>
          <w:right w:val="single" w:sz="8" w:space="0" w:color="A97817"/>
          <w:insideH w:val="single" w:sz="8" w:space="0" w:color="A97817"/>
          <w:insideV w:val="single" w:sz="8" w:space="0" w:color="A97817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FFF7E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A97817"/>
                <w:sz w:val="18"/>
                <w:lang w:val="ru-RU"/>
              </w:rPr>
              <w:t xml:space="preserve">СТОП-ФАКТОРЫ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Неопределённый measurand; отсутствие классической базы; закрытый алгоритм без аудита; недоступные сырые данные; смешение E0/E1 с E3/E4; риск дискриминации или необратимого экологического ущерба.</w:t>
            </w:r>
          </w:p>
        </w:tc>
      </w:tr>
    </w:tbl>
    <w:p>
      <w:pPr>
        <w:spacing w:after="40"/>
      </w:pPr>
    </w:p>
    <w:p>
      <w:pPr>
        <w:pStyle w:val="Heading1"/>
        <w:pageBreakBefore/>
      </w:pPr>
      <w:r>
        <w:rPr>
          <w:rFonts w:ascii="Calibri" w:hAnsi="Calibri" w:eastAsia="Calibri" w:cs="Calibri"/>
          <w:b/>
          <w:color w:val="A97817"/>
          <w:sz w:val="18"/>
          <w:lang w:val="ru-RU"/>
        </w:rPr>
        <w:t xml:space="preserve">ДОКАЗАТЕЛЬНАЯ БАЗА  /  </w:t>
      </w:r>
      <w:r>
        <w:rPr>
          <w:rFonts w:ascii="Calibri" w:hAnsi="Calibri" w:eastAsia="Calibri" w:cs="Calibri"/>
          <w:b/>
          <w:color w:val="2E74B5"/>
          <w:sz w:val="32"/>
          <w:lang w:val="ru-RU"/>
        </w:rPr>
        <w:t>Источники и редакционные оговорки</w:t>
      </w:r>
    </w:p>
    <w:p>
      <w:pPr>
        <w:keepNext w:val="0"/>
      </w:pPr>
      <w:r>
        <w:rPr>
          <w:rFonts w:ascii="Calibri" w:hAnsi="Calibri" w:eastAsia="Calibri" w:cs="Calibri"/>
          <w:color w:val="172B3A"/>
          <w:lang w:val="ru-RU"/>
        </w:rPr>
        <w:t>Дата обращения к электронным ресурсам: 30 августа 2026. Приведены первичные и официальные источники. Технические характеристики отдельных установок относятся только к указанным публикациям и не переносятся на будущие пилоты без проверки.</w:t>
      </w:r>
    </w:p>
    <w:p>
      <w:pPr>
        <w:pStyle w:val="KRPIReference"/>
        <w:keepLines/>
      </w:pPr>
      <w:hyperlink r:id="rId12">
        <w:r>
          <w:rPr>
            <w:rStyle w:val="Hyperlink"/>
            <w:color w:val="2E74B5"/>
            <w:u w:val="single"/>
          </w:rPr>
          <w:t>[1] BIPM — The International System of Units (SI), 9th edition, v4.01 (2026)</w:t>
        </w:r>
      </w:hyperlink>
    </w:p>
    <w:p>
      <w:pPr>
        <w:pStyle w:val="KRPIReference"/>
        <w:keepLines/>
      </w:pPr>
      <w:hyperlink r:id="rId13">
        <w:r>
          <w:rPr>
            <w:rStyle w:val="Hyperlink"/>
            <w:color w:val="2E74B5"/>
            <w:u w:val="single"/>
          </w:rPr>
          <w:t>[2] JCGM — International Vocabulary of Metrology (VIM): quantity dimension; measurement; uncertainty; traceability</w:t>
        </w:r>
      </w:hyperlink>
    </w:p>
    <w:p>
      <w:pPr>
        <w:pStyle w:val="KRPIReference"/>
        <w:keepLines/>
      </w:pPr>
      <w:hyperlink r:id="rId14">
        <w:r>
          <w:rPr>
            <w:rStyle w:val="Hyperlink"/>
            <w:color w:val="2E74B5"/>
            <w:u w:val="single"/>
          </w:rPr>
          <w:t>[3] JCGM GUM-1:2023 — Guide to the expression of uncertainty in measurement</w:t>
        </w:r>
      </w:hyperlink>
    </w:p>
    <w:p>
      <w:pPr>
        <w:pStyle w:val="KRPIReference"/>
        <w:keepLines/>
      </w:pPr>
      <w:hyperlink r:id="rId15">
        <w:r>
          <w:rPr>
            <w:rStyle w:val="Hyperlink"/>
            <w:color w:val="2E74B5"/>
            <w:u w:val="single"/>
          </w:rPr>
          <w:t>[4] JCGM 100:2008 — Evaluation of measurement data (GUM)</w:t>
        </w:r>
      </w:hyperlink>
    </w:p>
    <w:p>
      <w:pPr>
        <w:pStyle w:val="KRPIReference"/>
        <w:keepLines/>
      </w:pPr>
      <w:hyperlink r:id="rId16">
        <w:r>
          <w:rPr>
            <w:rStyle w:val="Hyperlink"/>
            <w:color w:val="2E74B5"/>
            <w:u w:val="single"/>
          </w:rPr>
          <w:t>[5] JCGM GUM-6:2020 — Developing and using measurement models</w:t>
        </w:r>
      </w:hyperlink>
    </w:p>
    <w:p>
      <w:pPr>
        <w:pStyle w:val="KRPIReference"/>
        <w:keepLines/>
      </w:pPr>
      <w:hyperlink r:id="rId17">
        <w:r>
          <w:rPr>
            <w:rStyle w:val="Hyperlink"/>
            <w:color w:val="2E74B5"/>
            <w:u w:val="single"/>
          </w:rPr>
          <w:t>[6] NIST SP 811, Chapter 8 — derived quantities and SI units; mass density</w:t>
        </w:r>
      </w:hyperlink>
    </w:p>
    <w:p>
      <w:pPr>
        <w:pStyle w:val="KRPIReference"/>
        <w:keepLines/>
      </w:pPr>
      <w:hyperlink r:id="rId18">
        <w:r>
          <w:rPr>
            <w:rStyle w:val="Hyperlink"/>
            <w:color w:val="2E74B5"/>
            <w:u w:val="single"/>
          </w:rPr>
          <w:t>[7] NIST — Quantum Information Science</w:t>
        </w:r>
      </w:hyperlink>
    </w:p>
    <w:p>
      <w:pPr>
        <w:pStyle w:val="KRPIReference"/>
        <w:keepLines/>
      </w:pPr>
      <w:hyperlink r:id="rId19">
        <w:r>
          <w:rPr>
            <w:rStyle w:val="Hyperlink"/>
            <w:color w:val="2E74B5"/>
            <w:u w:val="single"/>
          </w:rPr>
          <w:t>[8] NIST — Quantum Measurement</w:t>
        </w:r>
      </w:hyperlink>
    </w:p>
    <w:p>
      <w:pPr>
        <w:pStyle w:val="KRPIReference"/>
        <w:keepLines/>
      </w:pPr>
      <w:hyperlink r:id="rId20">
        <w:r>
          <w:rPr>
            <w:rStyle w:val="Hyperlink"/>
            <w:color w:val="2E74B5"/>
            <w:u w:val="single"/>
          </w:rPr>
          <w:t>[9] Gilmore et al. — Quantum-enhanced sensing with large trapped-ion crystals</w:t>
        </w:r>
      </w:hyperlink>
    </w:p>
    <w:p>
      <w:pPr>
        <w:pStyle w:val="KRPIReference"/>
        <w:keepLines/>
      </w:pPr>
      <w:hyperlink r:id="rId21">
        <w:r>
          <w:rPr>
            <w:rStyle w:val="Hyperlink"/>
            <w:color w:val="2E74B5"/>
            <w:u w:val="single"/>
          </w:rPr>
          <w:t>[10] NIST — Spin-squeezing techniques and measurements below the standard quantum limit (2023)</w:t>
        </w:r>
      </w:hyperlink>
    </w:p>
    <w:p>
      <w:pPr>
        <w:pStyle w:val="KRPIReference"/>
        <w:keepLines/>
      </w:pPr>
      <w:hyperlink r:id="rId22">
        <w:r>
          <w:rPr>
            <w:rStyle w:val="Hyperlink"/>
            <w:color w:val="2E74B5"/>
            <w:u w:val="single"/>
          </w:rPr>
          <w:t>[11] NIST — Atomic clocks as quantum sensors</w:t>
        </w:r>
      </w:hyperlink>
    </w:p>
    <w:p>
      <w:pPr>
        <w:pStyle w:val="KRPIReference"/>
        <w:keepLines/>
      </w:pPr>
      <w:hyperlink r:id="rId23">
        <w:r>
          <w:rPr>
            <w:rStyle w:val="Hyperlink"/>
            <w:color w:val="2E74B5"/>
            <w:u w:val="single"/>
          </w:rPr>
          <w:t>[12] NIST — Neutral atom optical clocks</w:t>
        </w:r>
      </w:hyperlink>
    </w:p>
    <w:p>
      <w:pPr>
        <w:pStyle w:val="KRPIReference"/>
        <w:keepLines/>
      </w:pPr>
      <w:hyperlink r:id="rId24">
        <w:r>
          <w:rPr>
            <w:rStyle w:val="Hyperlink"/>
            <w:color w:val="2E74B5"/>
            <w:u w:val="single"/>
          </w:rPr>
          <w:t>[13] ISO — ISO/IEC 17025:2017, competence of testing and calibration laboratories</w:t>
        </w:r>
      </w:hyperlink>
    </w:p>
    <w:p>
      <w:pPr>
        <w:pStyle w:val="KRPIReference"/>
        <w:keepLines/>
      </w:pPr>
      <w:hyperlink r:id="rId25">
        <w:r>
          <w:rPr>
            <w:rStyle w:val="Hyperlink"/>
            <w:color w:val="2E74B5"/>
            <w:u w:val="single"/>
          </w:rPr>
          <w:t>[14] ILAC — P10: ILAC Policy on Metrological Traceability of Measurement Results</w:t>
        </w:r>
      </w:hyperlink>
    </w:p>
    <w:p>
      <w:pPr>
        <w:pStyle w:val="KRPIReference"/>
        <w:keepLines/>
      </w:pPr>
      <w:hyperlink r:id="rId26">
        <w:r>
          <w:rPr>
            <w:rStyle w:val="Hyperlink"/>
            <w:color w:val="2E74B5"/>
            <w:u w:val="single"/>
          </w:rPr>
          <w:t>[15] BIPM — CIPM Mutual Recognition Arrangement</w:t>
        </w:r>
      </w:hyperlink>
    </w:p>
    <w:p>
      <w:pPr>
        <w:pStyle w:val="KRPIReference"/>
        <w:keepLines/>
      </w:pPr>
      <w:r>
        <w:rPr>
          <w:rFonts w:ascii="Calibri" w:hAnsi="Calibri" w:eastAsia="Calibri" w:cs="Calibri"/>
          <w:color w:val="172B3A"/>
          <w:sz w:val="14"/>
          <w:lang w:val="ru-RU"/>
        </w:rPr>
        <w:t>[16] Внутренний корпус — «Белая Книга Судьбы», реестр 344 работ; 16 КОНов; BAL-741; FIELD-741; ОРИОН 22:22</w:t>
      </w:r>
    </w:p>
    <w:p>
      <w:pPr>
        <w:pStyle w:val="KRPIReference"/>
        <w:keepLines/>
      </w:pPr>
      <w:hyperlink r:id="rId27">
        <w:r>
          <w:rPr>
            <w:rStyle w:val="Hyperlink"/>
            <w:color w:val="2E74B5"/>
            <w:u w:val="single"/>
          </w:rPr>
          <w:t>[17] Law of One — Densities (первичный тематический корпус; используется только для E0-описания традиции)</w:t>
        </w:r>
      </w:hyperlink>
    </w:p>
    <w:p>
      <w:pPr>
        <w:pStyle w:val="KRPIReference"/>
        <w:keepLines/>
      </w:pPr>
      <w:hyperlink r:id="rId28">
        <w:r>
          <w:rPr>
            <w:rStyle w:val="Hyperlink"/>
            <w:color w:val="2E74B5"/>
            <w:u w:val="single"/>
          </w:rPr>
          <w:t>[18] Law of One — Synopsis (краткая внутренняя схема традиции)</w:t>
        </w:r>
      </w:hyperlink>
    </w:p>
    <w:p>
      <w:pPr>
        <w:pStyle w:val="KRPIReference"/>
        <w:keepLines/>
      </w:pPr>
      <w:hyperlink r:id="rId29">
        <w:r>
          <w:rPr>
            <w:rStyle w:val="Hyperlink"/>
            <w:color w:val="2E74B5"/>
            <w:u w:val="single"/>
          </w:rPr>
          <w:t>[19] Foundation for the Law of Time — History (история авторской концепции)</w:t>
        </w:r>
      </w:hyperlink>
    </w:p>
    <w:p>
      <w:pPr>
        <w:pStyle w:val="KRPIReference"/>
        <w:keepLines/>
      </w:pPr>
      <w:hyperlink r:id="rId30">
        <w:r>
          <w:rPr>
            <w:rStyle w:val="Hyperlink"/>
            <w:color w:val="2E74B5"/>
            <w:u w:val="single"/>
          </w:rPr>
          <w:t>[20] Foundation for the Law of Time — Introduction to the Synchronic Order</w:t>
        </w:r>
      </w:hyperlink>
    </w:p>
    <w:p>
      <w:pPr>
        <w:pStyle w:val="KRPIReference"/>
        <w:keepLines/>
      </w:pPr>
      <w:hyperlink r:id="rId31">
        <w:r>
          <w:rPr>
            <w:rStyle w:val="Hyperlink"/>
            <w:color w:val="2E74B5"/>
            <w:u w:val="single"/>
          </w:rPr>
          <w:t>[21] José Argüelles — 260 Postulates of the Dynamics of Time (авторский текст)</w:t>
        </w:r>
      </w:hyperlink>
    </w:p>
    <w:p>
      <w:pPr>
        <w:pStyle w:val="KRPIReference"/>
        <w:keepLines/>
      </w:pPr>
      <w:hyperlink r:id="rId32">
        <w:r>
          <w:rPr>
            <w:rStyle w:val="Hyperlink"/>
            <w:color w:val="2E74B5"/>
            <w:u w:val="single"/>
          </w:rPr>
          <w:t>[22] W3C — PROV-O: The PROV Ontology (происхождение данных и действий)</w:t>
        </w:r>
      </w:hyperlink>
    </w:p>
    <w:p>
      <w:pPr>
        <w:pStyle w:val="KRPIReference"/>
        <w:keepLines/>
      </w:pPr>
      <w:hyperlink r:id="rId33">
        <w:r>
          <w:rPr>
            <w:rStyle w:val="Hyperlink"/>
            <w:color w:val="2E74B5"/>
            <w:u w:val="single"/>
          </w:rPr>
          <w:t>[23] TDWG — Darwin Core Terms (официальные термины обмена данными о биоразнообразии)</w:t>
        </w:r>
      </w:hyperlink>
    </w:p>
    <w:p>
      <w:pPr>
        <w:pStyle w:val="KRPIReference"/>
        <w:keepLines/>
      </w:pPr>
      <w:hyperlink r:id="rId34">
        <w:r>
          <w:rPr>
            <w:rStyle w:val="Hyperlink"/>
            <w:color w:val="2E74B5"/>
            <w:u w:val="single"/>
          </w:rPr>
          <w:t>[24] OGC — SensorThings API, Part 1: Sensing (модель наблюдений и сенсоров)</w:t>
        </w:r>
      </w:hyperlink>
    </w:p>
    <w:p>
      <w:pPr>
        <w:pStyle w:val="KRPIReference"/>
        <w:keepLines/>
      </w:pPr>
      <w:hyperlink r:id="rId35">
        <w:r>
          <w:rPr>
            <w:rStyle w:val="Hyperlink"/>
            <w:color w:val="2E74B5"/>
            <w:u w:val="single"/>
          </w:rPr>
          <w:t>[25] Bibliothèque nationale de France / Gallica — L’Archéomètre, цифровой факсимиле</w:t>
        </w:r>
      </w:hyperlink>
    </w:p>
    <w:p>
      <w:pPr>
        <w:pStyle w:val="KRPIReference"/>
        <w:keepLines/>
      </w:pPr>
      <w:hyperlink r:id="rId36">
        <w:r>
          <w:rPr>
            <w:rStyle w:val="Hyperlink"/>
            <w:color w:val="2E74B5"/>
            <w:u w:val="single"/>
          </w:rPr>
          <w:t>[26] BnF Catalogue général — запись L’Archéomètre, Saint‑Yves d’Alveydre</w:t>
        </w:r>
      </w:hyperlink>
    </w:p>
    <w:p>
      <w:pPr>
        <w:pStyle w:val="KRPIReference"/>
        <w:keepLines/>
      </w:pPr>
      <w:hyperlink r:id="rId37">
        <w:r>
          <w:rPr>
            <w:rStyle w:val="Hyperlink"/>
            <w:color w:val="2E74B5"/>
            <w:u w:val="single"/>
          </w:rPr>
          <w:t>[27] Internet Archive — L’Archéomètre, резервный цифровой экземпляр</w:t>
        </w:r>
      </w:hyperlink>
    </w:p>
    <w:p>
      <w:pPr>
        <w:pStyle w:val="KRPIReference"/>
        <w:keepLines/>
      </w:pPr>
      <w:hyperlink r:id="rId38">
        <w:r>
          <w:rPr>
            <w:rStyle w:val="Hyperlink"/>
            <w:color w:val="2E74B5"/>
            <w:u w:val="single"/>
          </w:rPr>
          <w:t>[28] Internet Archive — The Kybalion, Three Initiates, Chicago, 1908, факсимиле</w:t>
        </w:r>
      </w:hyperlink>
    </w:p>
    <w:p>
      <w:pPr>
        <w:pStyle w:val="KRPIReference"/>
        <w:keepLines/>
      </w:pPr>
      <w:hyperlink r:id="rId39">
        <w:r>
          <w:rPr>
            <w:rStyle w:val="Hyperlink"/>
            <w:color w:val="2E74B5"/>
            <w:u w:val="single"/>
          </w:rPr>
          <w:t>[29] HathiTrust — The Kybalion: a study of the hermetic philosophy, каталог</w:t>
        </w:r>
      </w:hyperlink>
    </w:p>
    <w:p>
      <w:pPr>
        <w:pStyle w:val="KRPIReference"/>
        <w:keepLines/>
      </w:pPr>
      <w:hyperlink r:id="rId40">
        <w:r>
          <w:rPr>
            <w:rStyle w:val="Hyperlink"/>
            <w:color w:val="2E74B5"/>
            <w:u w:val="single"/>
          </w:rPr>
          <w:t>[30] United Nations — Universal Declaration of Human Rights</w:t>
        </w:r>
      </w:hyperlink>
    </w:p>
    <w:p>
      <w:pPr>
        <w:pStyle w:val="KRPIReference"/>
        <w:keepLines/>
      </w:pPr>
      <w:hyperlink r:id="rId41">
        <w:r>
          <w:rPr>
            <w:rStyle w:val="Hyperlink"/>
            <w:color w:val="2E74B5"/>
            <w:u w:val="single"/>
          </w:rPr>
          <w:t>[31] UNESCO — Recommendation on the Ethics of Artificial Intelligence</w:t>
        </w:r>
      </w:hyperlink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A97817"/>
          <w:left w:val="single" w:sz="8" w:space="0" w:color="A97817"/>
          <w:bottom w:val="single" w:sz="8" w:space="0" w:color="A97817"/>
          <w:right w:val="single" w:sz="8" w:space="0" w:color="A97817"/>
          <w:insideH w:val="single" w:sz="8" w:space="0" w:color="A97817"/>
          <w:insideV w:val="single" w:sz="8" w:space="0" w:color="A97817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FFF7E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40" w:line="269" w:lineRule="auto"/>
            </w:pPr>
            <w:r/>
            <w:r>
              <w:rPr>
                <w:rFonts w:ascii="Calibri" w:hAnsi="Calibri" w:eastAsia="Calibri" w:cs="Calibri"/>
                <w:b/>
                <w:color w:val="A97817"/>
                <w:sz w:val="18"/>
                <w:lang w:val="ru-RU"/>
              </w:rPr>
              <w:t xml:space="preserve">РЕДАКЦИОННОЕ ПРАВИЛО  </w:t>
            </w:r>
            <w:r>
              <w:rPr>
                <w:rFonts w:ascii="Calibri" w:hAnsi="Calibri" w:eastAsia="Calibri" w:cs="Calibri"/>
                <w:b w:val="0"/>
                <w:color w:val="172B3A"/>
                <w:sz w:val="21"/>
                <w:lang w:val="ru-RU"/>
              </w:rPr>
              <w:t>Все численные цели, кроме прямо процитированных результатов официальных публикаций, являются проектными критериями и требуют утверждения владельцем программы. Выпуск не является нормативным стандартом, медицинской, финансовой или инвестиционной рекомендацией.</w:t>
            </w:r>
          </w:p>
        </w:tc>
      </w:tr>
    </w:tbl>
    <w:p>
      <w:pPr>
        <w:spacing w:after="4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40"/>
      <w:jc w:val="right"/>
    </w:pPr>
    <w:r/>
    <w:r>
      <w:rPr>
        <w:rFonts w:ascii="Calibri" w:hAnsi="Calibri" w:eastAsia="Calibri" w:cs="Calibri"/>
        <w:color w:val="5A6B7A"/>
        <w:sz w:val="16"/>
        <w:lang w:val="ru-RU"/>
      </w:rPr>
      <w:t xml:space="preserve">BKS-CAND-KRPI-0001-M01   •   </w:t>
    </w:r>
    <w: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  <w:pBdr>
        <w:bottom w:val="single" w:sz="5" w:space="3" w:color="D9E2EA"/>
      </w:pBdr>
    </w:pPr>
    <w:r/>
    <w:r>
      <w:rPr>
        <w:rFonts w:ascii="Calibri" w:hAnsi="Calibri" w:eastAsia="Calibri" w:cs="Calibri"/>
        <w:b/>
        <w:color w:val="5A6B7A"/>
        <w:sz w:val="16"/>
        <w:lang w:val="ru-RU"/>
      </w:rPr>
      <w:t>БЕЛАЯ КНИГА СУДЬБЫ  |  КВАНТОВЫЙ РЫВОК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nsid w:val="A1B2C009"/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9"/>
        <w:spacing w:after="80" w:line="290" w:lineRule="auto"/>
      </w:pPr>
      <w:rPr>
        <w:rFonts w:ascii="Calibri" w:hAnsi="Calibri"/>
      </w:rPr>
    </w:lvl>
  </w:abstractNum>
  <w:num w:numId="10">
    <w:abstractNumId w:val="9"/>
  </w:num>
  <w:abstractNum w:abstractNumId="10">
    <w:nsid w:val="A1B2C00A"/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9"/>
        <w:spacing w:after="80" w:line="290" w:lineRule="auto"/>
      </w:pPr>
    </w:lvl>
  </w:abstractNum>
  <w:num w:numId="11">
    <w:abstractNumId w:val="10"/>
    <w:lvlOverride w:ilvl="0">
      <w:startOverride w:val="1"/>
    </w:lvlOverride>
  </w:num>
  <w:num w:numId="12">
    <w:abstractNumId w:val="10"/>
    <w:lvlOverride w:ilvl="0">
      <w:startOverride w:val="1"/>
    </w:lvlOverride>
  </w:num>
  <w:num w:numId="13">
    <w:abstractNumId w:val="10"/>
    <w:lvlOverride w:ilvl="0">
      <w:startOverride w:val="1"/>
    </w:lvlOverride>
  </w:num>
  <w:num w:numId="14">
    <w:abstractNumId w:val="10"/>
    <w:lvlOverride w:ilvl="0">
      <w:startOverride w:val="1"/>
    </w:lvlOverride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widowControl/>
      <w:spacing w:before="0" w:after="160" w:line="320" w:lineRule="auto"/>
      <w:jc w:val="both"/>
    </w:pPr>
    <w:rPr>
      <w:rFonts w:ascii="Calibri" w:hAnsi="Calibri" w:eastAsia="Calibri" w:cs="Calibri"/>
      <w:b w:val="0"/>
      <w:i w:val="0"/>
      <w:color w:val="172B3A"/>
      <w:sz w:val="22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eastAsia="Calibri" w:cs="Calibri"/>
      <w:b/>
      <w:bCs/>
      <w:i w:val="0"/>
      <w:color w:val="2E74B5"/>
      <w:sz w:val="32"/>
      <w:szCs w:val="28"/>
      <w:lang w:val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240" w:after="12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eastAsia="Calibri" w:cs="Calibri"/>
      <w:b/>
      <w:bCs/>
      <w:i w:val="0"/>
      <w:color w:val="2E74B5"/>
      <w:sz w:val="26"/>
      <w:szCs w:val="26"/>
      <w:lang w:val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widowControl/>
      <w:spacing w:before="160" w:after="8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eastAsia="Calibri" w:cs="Calibri"/>
      <w:b/>
      <w:bCs/>
      <w:i w:val="0"/>
      <w:color w:val="1F4D78"/>
      <w:sz w:val="24"/>
      <w:lang w:val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pBdr>
        <w:bottom w:val="single" w:sz="8" w:space="4" w:color="4F81BD" w:themeColor="accent1"/>
      </w:pBdr>
      <w:spacing w:after="16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eastAsia="Calibri" w:cs="Calibri"/>
      <w:b/>
      <w:i w:val="0"/>
      <w:color w:val="0B2545"/>
      <w:spacing w:val="5"/>
      <w:kern w:val="28"/>
      <w:sz w:val="60"/>
      <w:szCs w:val="52"/>
      <w:lang w:val="ru-RU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widowControl/>
      <w:numPr>
        <w:ilvl w:val="1"/>
      </w:numPr>
      <w:spacing w:before="0" w:after="360" w:line="269" w:lineRule="auto"/>
      <w:jc w:val="left"/>
    </w:pPr>
    <w:rPr>
      <w:rFonts w:asciiTheme="majorHAnsi" w:eastAsiaTheme="majorEastAsia" w:hAnsiTheme="majorHAnsi" w:cstheme="majorBidi" w:ascii="Calibri" w:hAnsi="Calibri" w:eastAsia="Calibri" w:cs="Calibri"/>
      <w:b w:val="0"/>
      <w:i w:val="0"/>
      <w:iCs/>
      <w:color w:val="1F4D78"/>
      <w:spacing w:val="15"/>
      <w:sz w:val="29"/>
      <w:szCs w:val="24"/>
      <w:lang w:val="ru-RU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KRPIList">
    <w:name w:val="KRPI List"/>
    <w:pPr>
      <w:keepNext w:val="0"/>
      <w:widowControl/>
      <w:spacing w:before="0" w:after="80" w:line="290" w:lineRule="auto"/>
      <w:jc w:val="left"/>
    </w:pPr>
    <w:rPr>
      <w:rFonts w:ascii="Calibri" w:hAnsi="Calibri" w:eastAsia="Calibri" w:cs="Calibri"/>
      <w:b w:val="0"/>
      <w:i w:val="0"/>
      <w:color w:val="172B3A"/>
      <w:sz w:val="22"/>
      <w:lang w:val="ru-RU"/>
    </w:rPr>
  </w:style>
  <w:style w:type="paragraph" w:customStyle="1" w:styleId="KRPITable">
    <w:name w:val="KRPI Table"/>
    <w:pPr>
      <w:keepNext w:val="0"/>
      <w:widowControl/>
      <w:spacing w:before="0" w:after="80" w:line="252" w:lineRule="auto"/>
      <w:jc w:val="left"/>
    </w:pPr>
    <w:rPr>
      <w:rFonts w:ascii="Calibri" w:hAnsi="Calibri" w:eastAsia="Calibri" w:cs="Calibri"/>
      <w:b w:val="0"/>
      <w:i w:val="0"/>
      <w:color w:val="172B3A"/>
      <w:sz w:val="18"/>
      <w:lang w:val="ru-RU"/>
    </w:rPr>
  </w:style>
  <w:style w:type="paragraph" w:customStyle="1" w:styleId="KRPICaption">
    <w:name w:val="KRPI Caption"/>
    <w:pPr>
      <w:keepNext w:val="0"/>
      <w:widowControl/>
      <w:spacing w:before="0" w:after="80" w:line="240" w:lineRule="auto"/>
      <w:jc w:val="left"/>
    </w:pPr>
    <w:rPr>
      <w:rFonts w:ascii="Calibri" w:hAnsi="Calibri" w:eastAsia="Calibri" w:cs="Calibri"/>
      <w:b w:val="0"/>
      <w:i/>
      <w:color w:val="5A6B7A"/>
      <w:sz w:val="18"/>
      <w:lang w:val="ru-RU"/>
    </w:rPr>
  </w:style>
  <w:style w:type="paragraph" w:customStyle="1" w:styleId="KRPIReference">
    <w:name w:val="KRPI Reference"/>
    <w:pPr>
      <w:keepNext w:val="0"/>
      <w:widowControl/>
      <w:spacing w:before="0" w:after="30" w:line="240" w:lineRule="auto"/>
      <w:jc w:val="left"/>
    </w:pPr>
    <w:rPr>
      <w:rFonts w:ascii="Calibri" w:hAnsi="Calibri" w:eastAsia="Calibri" w:cs="Calibri"/>
      <w:b w:val="0"/>
      <w:i w:val="0"/>
      <w:color w:val="172B3A"/>
      <w:sz w:val="14"/>
      <w:lang w:val="ru-RU"/>
    </w:rPr>
  </w:style>
  <w:style w:type="paragraph" w:customStyle="1" w:styleId="KRPIFormula">
    <w:name w:val="KRPI Formula"/>
    <w:pPr>
      <w:keepNext w:val="0"/>
      <w:widowControl/>
      <w:spacing w:before="0" w:after="80" w:line="240" w:lineRule="auto"/>
      <w:jc w:val="center"/>
    </w:pPr>
    <w:rPr>
      <w:rFonts w:ascii="Calibri" w:hAnsi="Calibri" w:eastAsia="Calibri" w:cs="Calibri"/>
      <w:b/>
      <w:i w:val="0"/>
      <w:color w:val="0B2545"/>
      <w:sz w:val="26"/>
      <w:lang w:val="ru-RU"/>
    </w:rPr>
  </w:style>
  <w:style w:type="paragraph" w:customStyle="1" w:styleId="KRPIKicker">
    <w:name w:val="KRPI Kicker"/>
    <w:pPr>
      <w:keepNext w:val="0"/>
      <w:widowControl/>
      <w:spacing w:before="0" w:after="80" w:line="240" w:lineRule="auto"/>
      <w:jc w:val="left"/>
    </w:pPr>
    <w:rPr>
      <w:rFonts w:ascii="Calibri" w:hAnsi="Calibri" w:eastAsia="Calibri" w:cs="Calibri"/>
      <w:b/>
      <w:i w:val="0"/>
      <w:color w:val="A97817"/>
      <w:sz w:val="19"/>
      <w:lang w:val="ru-R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yperlink" Target="https://www.bipm.org/documents/20126/41483022/SI-Brochure-9-EN.pdf" TargetMode="External"/><Relationship Id="rId13" Type="http://schemas.openxmlformats.org/officeDocument/2006/relationships/hyperlink" Target="https://jcgm.bipm.org/vim/en/index.html" TargetMode="External"/><Relationship Id="rId14" Type="http://schemas.openxmlformats.org/officeDocument/2006/relationships/hyperlink" Target="https://www.bipm.org/documents/20126/2071204/JCGM_GUM-1.pdf/74e7aa56-2403-7037-f975-cd6b555b80e6" TargetMode="External"/><Relationship Id="rId15" Type="http://schemas.openxmlformats.org/officeDocument/2006/relationships/hyperlink" Target="https://www.bipm.org/documents/20126/2071204/JCGM_100_2008_E.pdf/cb0ef43f-baa5-11cf-3f85-4dcd86f77bd6" TargetMode="External"/><Relationship Id="rId16" Type="http://schemas.openxmlformats.org/officeDocument/2006/relationships/hyperlink" Target="https://www.bipm.org/documents/20126/2071204/JCGM_GUM_6_2020.pdf/d4e77d99-3870-0908-ff37-c1b6a230a337" TargetMode="External"/><Relationship Id="rId17" Type="http://schemas.openxmlformats.org/officeDocument/2006/relationships/hyperlink" Target="https://www.nist.gov/pml/special-publication-811/nist-guide-si-chapter-8" TargetMode="External"/><Relationship Id="rId18" Type="http://schemas.openxmlformats.org/officeDocument/2006/relationships/hyperlink" Target="https://www.nist.gov/quantum-information-science" TargetMode="External"/><Relationship Id="rId19" Type="http://schemas.openxmlformats.org/officeDocument/2006/relationships/hyperlink" Target="https://www.nist.gov/pml/quantum-measurement" TargetMode="External"/><Relationship Id="rId20" Type="http://schemas.openxmlformats.org/officeDocument/2006/relationships/hyperlink" Target="https://www.nist.gov/publications/quantum-enhanced-sensing-displacements-and-electric-fields-large-trapped-ion-crystals" TargetMode="External"/><Relationship Id="rId21" Type="http://schemas.openxmlformats.org/officeDocument/2006/relationships/hyperlink" Target="https://www.nist.gov/news-events/news/2023/09/new-spin-squeezing-techniques-let-atoms-work-together-better-quantum" TargetMode="External"/><Relationship Id="rId22" Type="http://schemas.openxmlformats.org/officeDocument/2006/relationships/hyperlink" Target="https://www.nist.gov/quantum-information-science/quantum-sensing-explained/atomic-clocks-exquisite-sensors-more-just-time" TargetMode="External"/><Relationship Id="rId23" Type="http://schemas.openxmlformats.org/officeDocument/2006/relationships/hyperlink" Target="https://www.nist.gov/pml/time-and-frequency-division/neutral-atom-optical-clocks" TargetMode="External"/><Relationship Id="rId24" Type="http://schemas.openxmlformats.org/officeDocument/2006/relationships/hyperlink" Target="https://www.iso.org/standard/66912.html" TargetMode="External"/><Relationship Id="rId25" Type="http://schemas.openxmlformats.org/officeDocument/2006/relationships/hyperlink" Target="https://ilac.org/publications-and-resources/ilac-policy-series/" TargetMode="External"/><Relationship Id="rId26" Type="http://schemas.openxmlformats.org/officeDocument/2006/relationships/hyperlink" Target="https://www.bipm.org/en/cipm-mra" TargetMode="External"/><Relationship Id="rId27" Type="http://schemas.openxmlformats.org/officeDocument/2006/relationships/hyperlink" Target="https://www.lawofone.info/c/Densities" TargetMode="External"/><Relationship Id="rId28" Type="http://schemas.openxmlformats.org/officeDocument/2006/relationships/hyperlink" Target="https://www.lawofone.info/synopsis.php" TargetMode="External"/><Relationship Id="rId29" Type="http://schemas.openxmlformats.org/officeDocument/2006/relationships/hyperlink" Target="https://lawoftime.org/history/" TargetMode="External"/><Relationship Id="rId30" Type="http://schemas.openxmlformats.org/officeDocument/2006/relationships/hyperlink" Target="https://www.lawoftime.org/lawoftime/intro-to-the-synchronic-order.html" TargetMode="External"/><Relationship Id="rId31" Type="http://schemas.openxmlformats.org/officeDocument/2006/relationships/hyperlink" Target="https://www.lawoftime.org/pdfs/260-Postulates-of-the-Dynamics-of-Time.pdf?dl=1" TargetMode="External"/><Relationship Id="rId32" Type="http://schemas.openxmlformats.org/officeDocument/2006/relationships/hyperlink" Target="https://www.w3.org/TR/prov-o/" TargetMode="External"/><Relationship Id="rId33" Type="http://schemas.openxmlformats.org/officeDocument/2006/relationships/hyperlink" Target="https://dwc.tdwg.org/terms/" TargetMode="External"/><Relationship Id="rId34" Type="http://schemas.openxmlformats.org/officeDocument/2006/relationships/hyperlink" Target="https://docs.ogc.org/is/18-088/18-088.html" TargetMode="External"/><Relationship Id="rId35" Type="http://schemas.openxmlformats.org/officeDocument/2006/relationships/hyperlink" Target="https://gallica.bnf.fr/ark:/12148/bd6t5750345t" TargetMode="External"/><Relationship Id="rId36" Type="http://schemas.openxmlformats.org/officeDocument/2006/relationships/hyperlink" Target="https://catalogue.bnf.fr/ark:/12148/cb31285772h" TargetMode="External"/><Relationship Id="rId37" Type="http://schemas.openxmlformats.org/officeDocument/2006/relationships/hyperlink" Target="https://archive.org/details/archeometre/SaintYvesDAlveydre-LArcheometre%5B1911-FR%5D" TargetMode="External"/><Relationship Id="rId38" Type="http://schemas.openxmlformats.org/officeDocument/2006/relationships/hyperlink" Target="https://archive.org/details/kybalionstudyofh00init" TargetMode="External"/><Relationship Id="rId39" Type="http://schemas.openxmlformats.org/officeDocument/2006/relationships/hyperlink" Target="https://catalog.hathitrust.org/Record/009777032" TargetMode="External"/><Relationship Id="rId40" Type="http://schemas.openxmlformats.org/officeDocument/2006/relationships/hyperlink" Target="https://www.un.org/en/about-us/universal-declaration-of-human-rights" TargetMode="External"/><Relationship Id="rId41" Type="http://schemas.openxmlformats.org/officeDocument/2006/relationships/hyperlink" Target="https://unesdoc.unesco.org/ark:/48223/pf00003811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Квантовый рывок Плотности и Измерений</dc:title>
  <dc:subject>Научно-метрологическая концепция Белой Книги Судьбы</dc:subject>
  <dc:creator>Белая Книга Судьбы / проект ЭКВИЛИБРИУМ</dc:creator>
  <cp:keywords>метрология, плотность, измерение, неопределённость, прослеживаемость, квантовые сенсоры, Белая Книга Судьбы, BAL-741, FIELD-741, ОРИОН 22:22</cp:keywords>
  <dc:description>Проектный дополнительный выпуск. Базовый реестр BKS-0001…BKS-0344 не изменён.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