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300" w:line="259" w:lineRule="auto"/>
        <w:jc w:val="center"/>
      </w:pPr>
      <w:r>
        <w:rPr>
          <w:b/>
          <w:color w:val="2F5597"/>
          <w:sz w:val="24"/>
        </w:rPr>
        <w:t>СОЦИАЛЬНАЯ КООПЕРАЦИЯ</w:t>
      </w:r>
    </w:p>
    <w:p>
      <w:pPr>
        <w:spacing w:before="360" w:line="259" w:lineRule="auto"/>
        <w:jc w:val="center"/>
      </w:pPr>
      <w:r>
        <w:rPr>
          <w:b/>
          <w:color w:val="17365D"/>
          <w:sz w:val="60"/>
        </w:rPr>
        <w:t>КООПЕРАТИВНАЯ</w:t>
        <w:br/>
        <w:t>БИРЖА ТРУДА</w:t>
      </w:r>
    </w:p>
    <w:p>
      <w:pPr>
        <w:spacing w:before="280" w:line="259" w:lineRule="auto"/>
        <w:jc w:val="center"/>
      </w:pPr>
      <w:r>
        <w:rPr>
          <w:color w:val="595959"/>
          <w:sz w:val="28"/>
        </w:rPr>
        <w:t>Концепция системы организации кооперативной занятости, проектной кооперации и развития человеческого потенциала</w:t>
      </w:r>
    </w:p>
    <w:p>
      <w:pPr>
        <w:spacing w:before="1000" w:line="259" w:lineRule="auto"/>
        <w:jc w:val="center"/>
      </w:pPr>
      <w:r>
        <w:rPr>
          <w:color w:val="7F7F7F"/>
          <w:sz w:val="20"/>
        </w:rPr>
        <w:t>Версия 1.0  •  22 августа 2026 года</w:t>
      </w:r>
    </w:p>
    <w:p>
      <w:pPr>
        <w:spacing w:line="259" w:lineRule="auto"/>
      </w:pPr>
      <w:r>
        <w:br w:type="page"/>
      </w:r>
    </w:p>
    <w:p>
      <w:pPr>
        <w:pStyle w:val="Heading1"/>
        <w:keepNext/>
        <w:spacing w:before="200" w:after="100"/>
      </w:pPr>
      <w:r>
        <w:t>1. Резюме</w:t>
      </w:r>
    </w:p>
    <w:p>
      <w:pPr>
        <w:spacing w:line="259" w:lineRule="auto"/>
      </w:pPr>
      <w:r>
        <w:rPr>
          <w:b/>
        </w:rPr>
        <w:t>Кооперативная Биржа Труда (КБТ)</w:t>
      </w:r>
      <w:r>
        <w:t xml:space="preserve"> — инфраструктурный механизм системы «Социальная кооперация», соединяющий людей, компетенции, задачи, проекты, заказчиков, кооперативы и ресурсы в единый цифровой контур организации труда.</w:t>
      </w:r>
    </w:p>
    <w:p>
      <w:pPr>
        <w:spacing w:line="259" w:lineRule="auto"/>
      </w:pPr>
      <w:r>
        <w:t>КБТ предназначена не только для поиска работы. Ее задача — переводить спрос на общественно полезную и экономически востребованную деятельность в конкретные задания, формировать под них команды, обеспечивать правовое оформление отношений, учет вклада, оплату, развитие компетенций и накопление подтвержденной репутации.</w:t>
      </w:r>
    </w:p>
    <w:p>
      <w:pPr>
        <w:spacing w:line="259" w:lineRule="auto"/>
      </w:pPr>
      <w:r>
        <w:t>Ключевой принцип системы: человек получает доступ не только к вакансии, но и к траектории участия — от отдельного задания и проектной роли до членства в кооперативе, создания собственной производственной команды и участия в распределении результата в рамках выбранной законной модели.</w:t>
      </w:r>
    </w:p>
    <w:p>
      <w:pPr>
        <w:pStyle w:val="Heading1"/>
        <w:keepNext/>
        <w:spacing w:before="200" w:after="100"/>
      </w:pPr>
      <w:r>
        <w:t>2. Миссия и целевая модель</w:t>
      </w:r>
    </w:p>
    <w:p>
      <w:pPr>
        <w:spacing w:line="259" w:lineRule="auto"/>
      </w:pPr>
      <w:r>
        <w:rPr>
          <w:b/>
        </w:rPr>
        <w:t xml:space="preserve">Миссия КБТ: </w:t>
      </w:r>
      <w:r>
        <w:t>сделать труд, компетенции и кооперацию доступным ресурсом развития человека, территории, предприятия и общества.</w:t>
      </w:r>
    </w:p>
    <w:p>
      <w:pPr>
        <w:pStyle w:val="ListBullet"/>
        <w:spacing w:after="60" w:line="259" w:lineRule="auto"/>
      </w:pPr>
      <w:r>
        <w:t>сократить разрыв между наличием людей и наличием реальных задач;</w:t>
      </w:r>
    </w:p>
    <w:p>
      <w:pPr>
        <w:pStyle w:val="ListBullet"/>
        <w:spacing w:after="60" w:line="259" w:lineRule="auto"/>
      </w:pPr>
      <w:r>
        <w:t>создать прозрачный механизм включения граждан в проекты и производственные цепочки;</w:t>
      </w:r>
    </w:p>
    <w:p>
      <w:pPr>
        <w:pStyle w:val="ListBullet"/>
        <w:spacing w:after="60" w:line="259" w:lineRule="auto"/>
      </w:pPr>
      <w:r>
        <w:t>обеспечить возможность коллективного предпринимательства и кооперативной занятости;</w:t>
      </w:r>
    </w:p>
    <w:p>
      <w:pPr>
        <w:pStyle w:val="ListBullet"/>
        <w:spacing w:after="60" w:line="259" w:lineRule="auto"/>
      </w:pPr>
      <w:r>
        <w:t>связать обучение и подтверждение компетенций с конкретным спросом;</w:t>
      </w:r>
    </w:p>
    <w:p>
      <w:pPr>
        <w:pStyle w:val="ListBullet"/>
        <w:spacing w:after="60" w:line="259" w:lineRule="auto"/>
      </w:pPr>
      <w:r>
        <w:t>повысить мобильность трудовых ресурсов без утраты социальной защищенности;</w:t>
      </w:r>
    </w:p>
    <w:p>
      <w:pPr>
        <w:pStyle w:val="ListBullet"/>
        <w:spacing w:after="60" w:line="259" w:lineRule="auto"/>
      </w:pPr>
      <w:r>
        <w:t>формировать достоверную цифровую историю вклада, результата и деловой репутации.</w:t>
      </w:r>
    </w:p>
    <w:p>
      <w:pPr>
        <w:pStyle w:val="Heading1"/>
        <w:keepNext/>
        <w:spacing w:before="200" w:after="100"/>
      </w:pPr>
      <w:r>
        <w:t>3. Основные принципы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rPr>
          <w:tblHeader w:val="true"/>
        </w:trPr>
        <w:tc>
          <w:tcPr>
            <w:tcW w:type="dxa" w:w="4986"/>
            <w:vAlign w:val="center"/>
            <w:shd w:fill="17365D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Принцип</w:t>
            </w:r>
          </w:p>
        </w:tc>
        <w:tc>
          <w:tcPr>
            <w:tcW w:type="dxa" w:w="4986"/>
            <w:vAlign w:val="center"/>
            <w:shd w:fill="17365D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Содержание</w:t>
            </w:r>
          </w:p>
        </w:tc>
      </w:tr>
      <w:tr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/>
                <w:sz w:val="18"/>
              </w:rPr>
              <w:t>Добровольность</w:t>
            </w:r>
          </w:p>
        </w:tc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Участник самостоятельно выбирает проекты, команды и допустимую форму занятости.</w:t>
            </w:r>
          </w:p>
        </w:tc>
      </w:tr>
      <w:tr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/>
                <w:sz w:val="18"/>
              </w:rPr>
              <w:t>Законность</w:t>
            </w:r>
          </w:p>
        </w:tc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Кооперативная модель не подменяет трудовые отношения там, где по фактическим обстоятельствам требуется трудовой договор.</w:t>
            </w:r>
          </w:p>
        </w:tc>
      </w:tr>
      <w:tr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/>
                <w:sz w:val="18"/>
              </w:rPr>
              <w:t>Прозрачность</w:t>
            </w:r>
          </w:p>
        </w:tc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Условия задания, стоимость, критерии приемки, распределение ролей и выплат фиксируются до начала работ.</w:t>
            </w:r>
          </w:p>
        </w:tc>
      </w:tr>
      <w:tr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/>
                <w:sz w:val="18"/>
              </w:rPr>
              <w:t>Кооперация</w:t>
            </w:r>
          </w:p>
        </w:tc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Система поощряет объединение компетенций и совместное создание результата.</w:t>
            </w:r>
          </w:p>
        </w:tc>
      </w:tr>
      <w:tr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/>
                <w:sz w:val="18"/>
              </w:rPr>
              <w:t>Измеримость вклада</w:t>
            </w:r>
          </w:p>
        </w:tc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Учитываются подтвержденные результаты, качество, сроки, роль и ответственность участника.</w:t>
            </w:r>
          </w:p>
        </w:tc>
      </w:tr>
      <w:tr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/>
                <w:sz w:val="18"/>
              </w:rPr>
              <w:t>Развитие человека</w:t>
            </w:r>
          </w:p>
        </w:tc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Биржа не только распределяет работу, но и строит индивидуальную траекторию обучения и профессионального роста.</w:t>
            </w:r>
          </w:p>
        </w:tc>
      </w:tr>
      <w:tr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/>
                <w:sz w:val="18"/>
              </w:rPr>
              <w:t>Инклюзивность</w:t>
            </w:r>
          </w:p>
        </w:tc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Предусматриваются специальные маршруты для молодежи, старшего поколения, ветеранов, людей с инвалидностью, родителей с ограниченной мобильностью и жителей удаленных территорий.</w:t>
            </w:r>
          </w:p>
        </w:tc>
      </w:tr>
      <w:tr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/>
                <w:sz w:val="18"/>
              </w:rPr>
              <w:t>Технологическая нейтральность</w:t>
            </w:r>
          </w:p>
        </w:tc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ИИ, распределенные реестры и иные технологии применяются там, где они дают проверяемую пользу, а не ради самой технологии.</w:t>
            </w:r>
          </w:p>
        </w:tc>
      </w:tr>
    </w:tbl>
    <w:p>
      <w:pPr>
        <w:pStyle w:val="Heading1"/>
        <w:keepNext/>
        <w:spacing w:before="200" w:after="100"/>
      </w:pPr>
      <w:r>
        <w:t>4. Участники системы</w:t>
      </w:r>
    </w:p>
    <w:p>
      <w:pPr>
        <w:spacing w:line="259" w:lineRule="auto"/>
      </w:pPr>
      <w:r>
        <w:rPr>
          <w:b/>
        </w:rPr>
        <w:t xml:space="preserve">Гражданин / специалист: </w:t>
      </w:r>
      <w:r>
        <w:t>предлагает компетенции, выполняет задания, получает оплату и накапливает подтвержденную репутацию.</w:t>
      </w:r>
    </w:p>
    <w:p>
      <w:pPr>
        <w:spacing w:line="259" w:lineRule="auto"/>
      </w:pPr>
      <w:r>
        <w:rPr>
          <w:b/>
        </w:rPr>
        <w:t xml:space="preserve">Проектная команда: </w:t>
      </w:r>
      <w:r>
        <w:t>временное объединение участников под конкретный результат.</w:t>
      </w:r>
    </w:p>
    <w:p>
      <w:pPr>
        <w:spacing w:line="259" w:lineRule="auto"/>
      </w:pPr>
      <w:r>
        <w:rPr>
          <w:b/>
        </w:rPr>
        <w:t xml:space="preserve">Кооператив: </w:t>
      </w:r>
      <w:r>
        <w:t>организует устойчивую совместную деятельность, сервисы участникам, производство или оказание услуг.</w:t>
      </w:r>
    </w:p>
    <w:p>
      <w:pPr>
        <w:spacing w:line="259" w:lineRule="auto"/>
      </w:pPr>
      <w:r>
        <w:rPr>
          <w:b/>
        </w:rPr>
        <w:t xml:space="preserve">Заказчик: </w:t>
      </w:r>
      <w:r>
        <w:t>государственный орган, муниципалитет, предприятие, НКО, кооператив или гражданин, формирующий спрос.</w:t>
      </w:r>
    </w:p>
    <w:p>
      <w:pPr>
        <w:spacing w:line="259" w:lineRule="auto"/>
      </w:pPr>
      <w:r>
        <w:rPr>
          <w:b/>
        </w:rPr>
        <w:t xml:space="preserve">Образовательный партнер: </w:t>
      </w:r>
      <w:r>
        <w:t>закрывает дефицит компетенций через обучение, практику и сертификацию.</w:t>
      </w:r>
    </w:p>
    <w:p>
      <w:pPr>
        <w:spacing w:line="259" w:lineRule="auto"/>
      </w:pPr>
      <w:r>
        <w:rPr>
          <w:b/>
        </w:rPr>
        <w:t xml:space="preserve">Инфраструктурный партнер: </w:t>
      </w:r>
      <w:r>
        <w:t>предоставляет оборудование, помещения, логистику, цифровые сервисы, финансирование или страхование.</w:t>
      </w:r>
    </w:p>
    <w:p>
      <w:pPr>
        <w:spacing w:line="259" w:lineRule="auto"/>
      </w:pPr>
      <w:r>
        <w:rPr>
          <w:b/>
        </w:rPr>
        <w:t xml:space="preserve">Оператор КБТ: </w:t>
      </w:r>
      <w:r>
        <w:t>обеспечивает цифровую инфраструктуру, регламенты, безопасность, аналитику, разрешение типовых споров и контроль качества процессов.</w:t>
      </w:r>
    </w:p>
    <w:p>
      <w:pPr>
        <w:pStyle w:val="Heading1"/>
        <w:keepNext/>
        <w:spacing w:before="200" w:after="100"/>
      </w:pPr>
      <w:r>
        <w:t>5. Архитектура Кооперативной Биржи Труда</w:t>
      </w:r>
    </w:p>
    <w:p>
      <w:pPr>
        <w:pStyle w:val="Heading2"/>
        <w:keepNext/>
        <w:spacing w:before="200" w:after="100"/>
      </w:pPr>
      <w:r>
        <w:t>5.1. Профиль участника</w:t>
      </w:r>
    </w:p>
    <w:p>
      <w:pPr>
        <w:spacing w:line="259" w:lineRule="auto"/>
      </w:pPr>
      <w:r>
        <w:t>Компетенции, опыт, портфолио, подтверждения квалификации, предпочтительный режим занятости, доступность, география, история выполненных задач и рейтинг надежности.</w:t>
      </w:r>
    </w:p>
    <w:p>
      <w:pPr>
        <w:pStyle w:val="Heading2"/>
        <w:keepNext/>
        <w:spacing w:before="200" w:after="100"/>
      </w:pPr>
      <w:r>
        <w:t>5.2. Реестр задач и проектов</w:t>
      </w:r>
    </w:p>
    <w:p>
      <w:pPr>
        <w:spacing w:line="259" w:lineRule="auto"/>
      </w:pPr>
      <w:r>
        <w:t>Вакансии, проектные роли, разовые задания, производственные заказы, социальные работы, исследовательские и инженерные задачи, стажировки и добровольческие проекты.</w:t>
      </w:r>
    </w:p>
    <w:p>
      <w:pPr>
        <w:pStyle w:val="Heading2"/>
        <w:keepNext/>
        <w:spacing w:before="200" w:after="100"/>
      </w:pPr>
      <w:r>
        <w:t>5.3. Конструктор команд</w:t>
      </w:r>
    </w:p>
    <w:p>
      <w:pPr>
        <w:spacing w:line="259" w:lineRule="auto"/>
      </w:pPr>
      <w:r>
        <w:t>Автоматизированный подбор состава под задачу с учетом компетенций, доступности, рейтинга, локации и совместимости ролей.</w:t>
      </w:r>
    </w:p>
    <w:p>
      <w:pPr>
        <w:pStyle w:val="Heading2"/>
        <w:keepNext/>
        <w:spacing w:before="200" w:after="100"/>
      </w:pPr>
      <w:r>
        <w:t>5.4. Контур договоров</w:t>
      </w:r>
    </w:p>
    <w:p>
      <w:pPr>
        <w:spacing w:line="259" w:lineRule="auto"/>
      </w:pPr>
      <w:r>
        <w:t>Выбор и оформление юридически допустимой формы: трудовой договор, договор ГПХ, договор с самозанятым/ИП, членские и хозяйственные отношения кооператива, консорциальная или иная проектная модель.</w:t>
      </w:r>
    </w:p>
    <w:p>
      <w:pPr>
        <w:pStyle w:val="Heading2"/>
        <w:keepNext/>
        <w:spacing w:before="200" w:after="100"/>
      </w:pPr>
      <w:r>
        <w:t>5.5. Учет вклада и результата</w:t>
      </w:r>
    </w:p>
    <w:p>
      <w:pPr>
        <w:spacing w:line="259" w:lineRule="auto"/>
      </w:pPr>
      <w:r>
        <w:t>Фиксация этапов, приемки, качества, трудозатрат и индивидуального/командного вклада по заранее согласованным правилам.</w:t>
      </w:r>
    </w:p>
    <w:p>
      <w:pPr>
        <w:pStyle w:val="Heading2"/>
        <w:keepNext/>
        <w:spacing w:before="200" w:after="100"/>
      </w:pPr>
      <w:r>
        <w:t>5.6. Расчеты</w:t>
      </w:r>
    </w:p>
    <w:p>
      <w:pPr>
        <w:spacing w:line="259" w:lineRule="auto"/>
      </w:pPr>
      <w:r>
        <w:t>Счет задания, резервирование средств, этапные выплаты, налоги и обязательные платежи в зависимости от правового статуса участника.</w:t>
      </w:r>
    </w:p>
    <w:p>
      <w:pPr>
        <w:pStyle w:val="Heading2"/>
        <w:keepNext/>
        <w:spacing w:before="200" w:after="100"/>
      </w:pPr>
      <w:r>
        <w:t>5.7. Репутация и доверие</w:t>
      </w:r>
    </w:p>
    <w:p>
      <w:pPr>
        <w:spacing w:line="259" w:lineRule="auto"/>
      </w:pPr>
      <w:r>
        <w:t>Рейтинг строится не на субъективной популярности, а на подтвержденной истории исполнения, качестве, соблюдении сроков и разрешенных споров.</w:t>
      </w:r>
    </w:p>
    <w:p>
      <w:pPr>
        <w:pStyle w:val="Heading2"/>
        <w:keepNext/>
        <w:spacing w:before="200" w:after="100"/>
      </w:pPr>
      <w:r>
        <w:t>5.8. Обучение и переквалификация</w:t>
      </w:r>
    </w:p>
    <w:p>
      <w:pPr>
        <w:spacing w:line="259" w:lineRule="auto"/>
      </w:pPr>
      <w:r>
        <w:t>Рекомендации по дефицитным навыкам, образовательные программы, практические задания и последующий выход на оплачиваемые проекты.</w:t>
      </w:r>
    </w:p>
    <w:p>
      <w:pPr>
        <w:pStyle w:val="Heading2"/>
        <w:keepNext/>
        <w:spacing w:before="200" w:after="100"/>
      </w:pPr>
      <w:r>
        <w:t>5.9. Аналитика</w:t>
      </w:r>
    </w:p>
    <w:p>
      <w:pPr>
        <w:spacing w:line="259" w:lineRule="auto"/>
      </w:pPr>
      <w:r>
        <w:t>Карта спроса на компетенции, прогноз кадрового дефицита, загрузка территорий, стоимость труда, эффективность программ занятости и кооперации.</w:t>
      </w:r>
    </w:p>
    <w:p>
      <w:pPr>
        <w:pStyle w:val="Heading1"/>
        <w:keepNext/>
        <w:spacing w:before="200" w:after="100"/>
      </w:pPr>
      <w:r>
        <w:t>6. Сквозной процесс</w:t>
      </w:r>
    </w:p>
    <w:p>
      <w:pPr>
        <w:pStyle w:val="ListNumber"/>
        <w:spacing w:after="60" w:line="259" w:lineRule="auto"/>
      </w:pPr>
      <w:r>
        <w:t>Заказчик формирует задачу и ожидаемый измеримый результат.</w:t>
      </w:r>
    </w:p>
    <w:p>
      <w:pPr>
        <w:pStyle w:val="ListNumber"/>
        <w:spacing w:after="60" w:line="259" w:lineRule="auto"/>
      </w:pPr>
      <w:r>
        <w:t>КБТ классифицирует задачу, определяет необходимые компетенции и рекомендуемую юридическую модель.</w:t>
      </w:r>
    </w:p>
    <w:p>
      <w:pPr>
        <w:pStyle w:val="ListNumber"/>
        <w:spacing w:after="60" w:line="259" w:lineRule="auto"/>
      </w:pPr>
      <w:r>
        <w:t>Система подбирает отдельных исполнителей либо формирует проектную команду/кооперативный контур.</w:t>
      </w:r>
    </w:p>
    <w:p>
      <w:pPr>
        <w:pStyle w:val="ListNumber"/>
        <w:spacing w:after="60" w:line="259" w:lineRule="auto"/>
      </w:pPr>
      <w:r>
        <w:t>Стороны согласуют цену, сроки, роли, критерии приемки и порядок распределения вознаграждения.</w:t>
      </w:r>
    </w:p>
    <w:p>
      <w:pPr>
        <w:pStyle w:val="ListNumber"/>
        <w:spacing w:after="60" w:line="259" w:lineRule="auto"/>
      </w:pPr>
      <w:r>
        <w:t>Оформляются необходимые договоры и, при необходимости, резервируется финансирование.</w:t>
      </w:r>
    </w:p>
    <w:p>
      <w:pPr>
        <w:pStyle w:val="ListNumber"/>
        <w:spacing w:after="60" w:line="259" w:lineRule="auto"/>
      </w:pPr>
      <w:r>
        <w:t>Работа выполняется по этапам; результат и вклад фиксируются в системе.</w:t>
      </w:r>
    </w:p>
    <w:p>
      <w:pPr>
        <w:pStyle w:val="ListNumber"/>
        <w:spacing w:after="60" w:line="259" w:lineRule="auto"/>
      </w:pPr>
      <w:r>
        <w:t>Заказчик принимает результат либо запускается предусмотренная процедура доработки/спора.</w:t>
      </w:r>
    </w:p>
    <w:p>
      <w:pPr>
        <w:pStyle w:val="ListNumber"/>
        <w:spacing w:after="60" w:line="259" w:lineRule="auto"/>
      </w:pPr>
      <w:r>
        <w:t>Производятся выплаты и обязательные расчеты.</w:t>
      </w:r>
    </w:p>
    <w:p>
      <w:pPr>
        <w:pStyle w:val="ListNumber"/>
        <w:spacing w:after="60" w:line="259" w:lineRule="auto"/>
      </w:pPr>
      <w:r>
        <w:t>Результат попадает в цифровое портфолио, а участнику предлагается следующий проект или траектория развития.</w:t>
      </w:r>
    </w:p>
    <w:p>
      <w:pPr>
        <w:pStyle w:val="Heading1"/>
        <w:keepNext/>
        <w:spacing w:before="200" w:after="100"/>
      </w:pPr>
      <w:r>
        <w:t>7. КБТ в системе «Социальная кооперация»</w:t>
      </w:r>
    </w:p>
    <w:p>
      <w:pPr>
        <w:spacing w:line="259" w:lineRule="auto"/>
      </w:pPr>
      <w:r>
        <w:t>Кооперативная Биржа Труда выступает кадрово-производственным контуром социальной кооперации. Через нее социальная инициатива получает людей и компетенции, а человек получает доступ к реальным задачам, проектам и коллективным формам экономического участия.</w:t>
      </w:r>
    </w:p>
    <w:p>
      <w:pPr>
        <w:spacing w:line="259" w:lineRule="auto"/>
        <w:jc w:val="center"/>
      </w:pPr>
      <w:r>
        <w:rPr>
          <w:b/>
          <w:color w:val="2F5597"/>
          <w:sz w:val="22"/>
        </w:rPr>
        <w:t>Инициатива → декомпозиция на проекты и задачи → подбор компетенций → формирование команды → ресурсное обеспечение → исполнение → приемка результата → расчеты → репутация и масштабирование.</w:t>
      </w:r>
    </w:p>
    <w:p>
      <w:pPr>
        <w:pStyle w:val="ListBullet"/>
        <w:spacing w:after="60" w:line="259" w:lineRule="auto"/>
      </w:pPr>
      <w:r>
        <w:t>социальные и инфраструктурные проекты получают кадровое обеспечение;</w:t>
      </w:r>
    </w:p>
    <w:p>
      <w:pPr>
        <w:pStyle w:val="ListBullet"/>
        <w:spacing w:after="60" w:line="259" w:lineRule="auto"/>
      </w:pPr>
      <w:r>
        <w:t>предприятия получают доступ к распределенному пулу компетенций;</w:t>
      </w:r>
    </w:p>
    <w:p>
      <w:pPr>
        <w:pStyle w:val="ListBullet"/>
        <w:spacing w:after="60" w:line="259" w:lineRule="auto"/>
      </w:pPr>
      <w:r>
        <w:t>кооперативы получают поток заказов и возможность формировать новые участки деятельности;</w:t>
      </w:r>
    </w:p>
    <w:p>
      <w:pPr>
        <w:pStyle w:val="ListBullet"/>
        <w:spacing w:after="60" w:line="259" w:lineRule="auto"/>
      </w:pPr>
      <w:r>
        <w:t>граждане получают не только поиск работы, но и вход в предпринимательскую и проектную кооперацию;</w:t>
      </w:r>
    </w:p>
    <w:p>
      <w:pPr>
        <w:pStyle w:val="ListBullet"/>
        <w:spacing w:after="60" w:line="259" w:lineRule="auto"/>
      </w:pPr>
      <w:r>
        <w:t>органы управления получают фактическую аналитику спроса и предложения труда.</w:t>
      </w:r>
    </w:p>
    <w:p>
      <w:pPr>
        <w:pStyle w:val="Heading1"/>
        <w:keepNext/>
        <w:spacing w:before="200" w:after="100"/>
      </w:pPr>
      <w:r>
        <w:t>8. Экономическая модель</w:t>
      </w:r>
    </w:p>
    <w:p>
      <w:pPr>
        <w:spacing w:line="259" w:lineRule="auto"/>
      </w:pPr>
      <w:r>
        <w:t>Экономика КБТ должна строиться на понятной стоимости услуг и не создавать скрытого налога на труд участника. Возможны следующие источники устойчивости платформы:</w:t>
      </w:r>
    </w:p>
    <w:p>
      <w:pPr>
        <w:pStyle w:val="ListBullet"/>
        <w:spacing w:after="60" w:line="259" w:lineRule="auto"/>
      </w:pPr>
      <w:r>
        <w:t>небольшая сервисная комиссия с успешно исполненного заказа;</w:t>
      </w:r>
    </w:p>
    <w:p>
      <w:pPr>
        <w:pStyle w:val="ListBullet"/>
        <w:spacing w:after="60" w:line="259" w:lineRule="auto"/>
      </w:pPr>
      <w:r>
        <w:t>абонентские сервисы для крупных заказчиков и кооперативов;</w:t>
      </w:r>
    </w:p>
    <w:p>
      <w:pPr>
        <w:pStyle w:val="ListBullet"/>
        <w:spacing w:after="60" w:line="259" w:lineRule="auto"/>
      </w:pPr>
      <w:r>
        <w:t>оплата расширенной аналитики и кадрового прогнозирования;</w:t>
      </w:r>
    </w:p>
    <w:p>
      <w:pPr>
        <w:pStyle w:val="ListBullet"/>
        <w:spacing w:after="60" w:line="259" w:lineRule="auto"/>
      </w:pPr>
      <w:r>
        <w:t>корпоративные программы формирования кадрового резерва;</w:t>
      </w:r>
    </w:p>
    <w:p>
      <w:pPr>
        <w:pStyle w:val="ListBullet"/>
        <w:spacing w:after="60" w:line="259" w:lineRule="auto"/>
      </w:pPr>
      <w:r>
        <w:t>государственные и региональные программы занятости и переобучения;</w:t>
      </w:r>
    </w:p>
    <w:p>
      <w:pPr>
        <w:pStyle w:val="ListBullet"/>
        <w:spacing w:after="60" w:line="259" w:lineRule="auto"/>
      </w:pPr>
      <w:r>
        <w:t>сервисные доходы от обучения, страхования, расчетов и инфраструктуры при добровольном выборе участника.</w:t>
      </w:r>
    </w:p>
    <w:p>
      <w:pPr>
        <w:spacing w:line="259" w:lineRule="auto"/>
      </w:pPr>
      <w:r>
        <w:rPr>
          <w:b/>
        </w:rPr>
        <w:t xml:space="preserve">Важно: </w:t>
      </w:r>
      <w:r>
        <w:t>распределение выручки внутри кооператива и проектной команды определяется их правовой формой, внутренними документами, договором и фактическим вкладом. Нельзя автоматически считать любого исполнителя «совладельцем» результата или заменять заработную плату «долей» без законного основания.</w:t>
      </w:r>
    </w:p>
    <w:p>
      <w:pPr>
        <w:pStyle w:val="Heading1"/>
        <w:keepNext/>
        <w:spacing w:before="200" w:after="100"/>
      </w:pPr>
      <w:r>
        <w:t>9. Правовая модель и комплаенс</w:t>
      </w:r>
    </w:p>
    <w:p>
      <w:pPr>
        <w:spacing w:line="259" w:lineRule="auto"/>
      </w:pPr>
      <w:r>
        <w:t>Для запуска КБТ необходим отдельный правовой контур. Конкретная конструкция зависит от юрисдикции и состава участников; для Российской Федерации потребуется юридическая экспертиза применимого трудового, гражданского, кооперативного, налогового законодательства, законодательства о персональных данных, электронной подписи, платежах и закупках.</w:t>
      </w:r>
    </w:p>
    <w:p>
      <w:pPr>
        <w:pStyle w:val="ListBullet"/>
        <w:spacing w:after="60" w:line="259" w:lineRule="auto"/>
      </w:pPr>
      <w:r>
        <w:t>разграничение трудовых отношений и гражданско-правового исполнения;</w:t>
      </w:r>
    </w:p>
    <w:p>
      <w:pPr>
        <w:pStyle w:val="ListBullet"/>
        <w:spacing w:after="60" w:line="259" w:lineRule="auto"/>
      </w:pPr>
      <w:r>
        <w:t>правила работы с самозанятыми и индивидуальными предпринимателями;</w:t>
      </w:r>
    </w:p>
    <w:p>
      <w:pPr>
        <w:pStyle w:val="ListBullet"/>
        <w:spacing w:after="60" w:line="259" w:lineRule="auto"/>
      </w:pPr>
      <w:r>
        <w:t>правила членства, паевых отношений и распределения кооперативных выплат;</w:t>
      </w:r>
    </w:p>
    <w:p>
      <w:pPr>
        <w:pStyle w:val="ListBullet"/>
        <w:spacing w:after="60" w:line="259" w:lineRule="auto"/>
      </w:pPr>
      <w:r>
        <w:t>идентификация участников и защита персональных данных;</w:t>
      </w:r>
    </w:p>
    <w:p>
      <w:pPr>
        <w:pStyle w:val="ListBullet"/>
        <w:spacing w:after="60" w:line="259" w:lineRule="auto"/>
      </w:pPr>
      <w:r>
        <w:t>налоговый учет и формирование необходимых документов;</w:t>
      </w:r>
    </w:p>
    <w:p>
      <w:pPr>
        <w:pStyle w:val="ListBullet"/>
        <w:spacing w:after="60" w:line="259" w:lineRule="auto"/>
      </w:pPr>
      <w:r>
        <w:t>электронный документооборот и юридически значимая фиксация согласий;</w:t>
      </w:r>
    </w:p>
    <w:p>
      <w:pPr>
        <w:pStyle w:val="ListBullet"/>
        <w:spacing w:after="60" w:line="259" w:lineRule="auto"/>
      </w:pPr>
      <w:r>
        <w:t>механизм претензий, арбитража/медиации и апелляции рейтинга;</w:t>
      </w:r>
    </w:p>
    <w:p>
      <w:pPr>
        <w:pStyle w:val="ListBullet"/>
        <w:spacing w:after="60" w:line="259" w:lineRule="auto"/>
      </w:pPr>
      <w:r>
        <w:t>недискриминационный алгоритмический подбор и объяснимость ключевых автоматизированных решений.</w:t>
      </w:r>
    </w:p>
    <w:p>
      <w:pPr>
        <w:pStyle w:val="Heading1"/>
        <w:keepNext/>
        <w:spacing w:before="200" w:after="100"/>
      </w:pPr>
      <w:r>
        <w:t>10. Социальный эффект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rPr>
          <w:tblHeader w:val="true"/>
        </w:trPr>
        <w:tc>
          <w:tcPr>
            <w:tcW w:type="dxa" w:w="3324"/>
            <w:vAlign w:val="center"/>
            <w:shd w:fill="17365D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Контур</w:t>
            </w:r>
          </w:p>
        </w:tc>
        <w:tc>
          <w:tcPr>
            <w:tcW w:type="dxa" w:w="3324"/>
            <w:vAlign w:val="center"/>
            <w:shd w:fill="17365D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Эффект</w:t>
            </w:r>
          </w:p>
        </w:tc>
        <w:tc>
          <w:tcPr>
            <w:tcW w:type="dxa" w:w="3324"/>
            <w:vAlign w:val="center"/>
            <w:shd w:fill="17365D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Пример показателя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8"/>
              </w:rPr>
              <w:t>Занятость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Быстрее переводит человека из поиска в оплачиваемое действие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дни до первого задания; доля активных участников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8"/>
              </w:rPr>
              <w:t>Доход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Расширяет число доступных источников легального дохода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средний доход участника; повторные заказы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8"/>
              </w:rPr>
              <w:t>Компетенции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Связывает обучение с реальным спросом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доля обучившихся, вышедших на проекты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8"/>
              </w:rPr>
              <w:t>Территории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Позволяет собирать локальные команды под муниципальные и инфраструктурные задачи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число проектов и занятых по территориям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8"/>
              </w:rPr>
              <w:t>Кооперация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Создает новые устойчивые команды и предприятия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число созданных/активных кооперативных команд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8"/>
              </w:rPr>
              <w:t>Доверие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Формирует подтверждаемую историю результата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доля задач без споров; индекс повторного сотрудничества</w:t>
            </w:r>
          </w:p>
        </w:tc>
      </w:tr>
    </w:tbl>
    <w:p>
      <w:pPr>
        <w:pStyle w:val="Heading1"/>
        <w:keepNext/>
        <w:spacing w:before="200" w:after="100"/>
      </w:pPr>
      <w:r>
        <w:t>11. Приоритетные сценарии применения</w:t>
      </w:r>
    </w:p>
    <w:p>
      <w:pPr>
        <w:pStyle w:val="ListBullet"/>
        <w:spacing w:after="60" w:line="259" w:lineRule="auto"/>
      </w:pPr>
      <w:r>
        <w:t>строительство, эксплуатация и благоустройство территорий;</w:t>
      </w:r>
    </w:p>
    <w:p>
      <w:pPr>
        <w:pStyle w:val="ListBullet"/>
        <w:spacing w:after="60" w:line="259" w:lineRule="auto"/>
      </w:pPr>
      <w:r>
        <w:t>ЖКХ, энергетика, экологический мониторинг и восстановительные работы;</w:t>
      </w:r>
    </w:p>
    <w:p>
      <w:pPr>
        <w:pStyle w:val="ListBullet"/>
        <w:spacing w:after="60" w:line="259" w:lineRule="auto"/>
      </w:pPr>
      <w:r>
        <w:t>социальное обслуживание, уход и сопровождение граждан;</w:t>
      </w:r>
    </w:p>
    <w:p>
      <w:pPr>
        <w:pStyle w:val="ListBullet"/>
        <w:spacing w:after="60" w:line="259" w:lineRule="auto"/>
      </w:pPr>
      <w:r>
        <w:t>производственная кооперация МСП и локализация цепочек поставок;</w:t>
      </w:r>
    </w:p>
    <w:p>
      <w:pPr>
        <w:pStyle w:val="ListBullet"/>
        <w:spacing w:after="60" w:line="259" w:lineRule="auto"/>
      </w:pPr>
      <w:r>
        <w:t>инженерные, научные и технологические проекты;</w:t>
      </w:r>
    </w:p>
    <w:p>
      <w:pPr>
        <w:pStyle w:val="ListBullet"/>
        <w:spacing w:after="60" w:line="259" w:lineRule="auto"/>
      </w:pPr>
      <w:r>
        <w:t>цифровизация, обработка данных, дизайн, медиа и сервисные работы;</w:t>
      </w:r>
    </w:p>
    <w:p>
      <w:pPr>
        <w:pStyle w:val="ListBullet"/>
        <w:spacing w:after="60" w:line="259" w:lineRule="auto"/>
      </w:pPr>
      <w:r>
        <w:t>сезонная занятость, сельское хозяйство и логистика;</w:t>
      </w:r>
    </w:p>
    <w:p>
      <w:pPr>
        <w:pStyle w:val="ListBullet"/>
        <w:spacing w:after="60" w:line="259" w:lineRule="auto"/>
      </w:pPr>
      <w:r>
        <w:t>молодежные проектные команды, стажировки и первая занятость;</w:t>
      </w:r>
    </w:p>
    <w:p>
      <w:pPr>
        <w:pStyle w:val="ListBullet"/>
        <w:spacing w:after="60" w:line="259" w:lineRule="auto"/>
      </w:pPr>
      <w:r>
        <w:t>программы профессионального возвращения ветеранов и иных групп, которым требуется адаптивная траектория занятости.</w:t>
      </w:r>
    </w:p>
    <w:p>
      <w:pPr>
        <w:pStyle w:val="Heading1"/>
        <w:keepNext/>
        <w:spacing w:before="200" w:after="100"/>
      </w:pPr>
      <w:r>
        <w:t>12. Роль искусственного интеллекта</w:t>
      </w:r>
    </w:p>
    <w:p>
      <w:pPr>
        <w:spacing w:line="259" w:lineRule="auto"/>
      </w:pPr>
      <w:r>
        <w:t>ИИ в КБТ используется как инструмент навигации и повышения эффективности, но не как непрозрачный арбитр судьбы участника.</w:t>
      </w:r>
    </w:p>
    <w:p>
      <w:pPr>
        <w:pStyle w:val="ListBullet"/>
        <w:spacing w:after="60" w:line="259" w:lineRule="auto"/>
      </w:pPr>
      <w:r>
        <w:t>семантическое сопоставление задач и компетенций;</w:t>
      </w:r>
    </w:p>
    <w:p>
      <w:pPr>
        <w:pStyle w:val="ListBullet"/>
        <w:spacing w:after="60" w:line="259" w:lineRule="auto"/>
      </w:pPr>
      <w:r>
        <w:t>выявление дефицита навыков и построение программы обучения;</w:t>
      </w:r>
    </w:p>
    <w:p>
      <w:pPr>
        <w:pStyle w:val="ListBullet"/>
        <w:spacing w:after="60" w:line="259" w:lineRule="auto"/>
      </w:pPr>
      <w:r>
        <w:t>комплектование проектных команд;</w:t>
      </w:r>
    </w:p>
    <w:p>
      <w:pPr>
        <w:pStyle w:val="ListBullet"/>
        <w:spacing w:after="60" w:line="259" w:lineRule="auto"/>
      </w:pPr>
      <w:r>
        <w:t>оценка рисков сроков и загрузки;</w:t>
      </w:r>
    </w:p>
    <w:p>
      <w:pPr>
        <w:pStyle w:val="ListBullet"/>
        <w:spacing w:after="60" w:line="259" w:lineRule="auto"/>
      </w:pPr>
      <w:r>
        <w:t>помощь заказчику в декомпозиции результата на задачи;</w:t>
      </w:r>
    </w:p>
    <w:p>
      <w:pPr>
        <w:pStyle w:val="ListBullet"/>
        <w:spacing w:after="60" w:line="259" w:lineRule="auto"/>
      </w:pPr>
      <w:r>
        <w:t>анализ рынка труда и прогноз спроса;</w:t>
      </w:r>
    </w:p>
    <w:p>
      <w:pPr>
        <w:pStyle w:val="ListBullet"/>
        <w:spacing w:after="60" w:line="259" w:lineRule="auto"/>
      </w:pPr>
      <w:r>
        <w:t>выявление аномалий и потенциального мошенничества при обязательном человеческом пересмотре спорных решений.</w:t>
      </w:r>
    </w:p>
    <w:p>
      <w:pPr>
        <w:pStyle w:val="Heading1"/>
        <w:keepNext/>
        <w:spacing w:before="200" w:after="100"/>
      </w:pPr>
      <w:r>
        <w:t>13. MVP и дорожная карта запуска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rPr>
          <w:tblHeader w:val="true"/>
        </w:trPr>
        <w:tc>
          <w:tcPr>
            <w:tcW w:type="dxa" w:w="2493"/>
            <w:vAlign w:val="center"/>
            <w:shd w:fill="17365D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Этап</w:t>
            </w:r>
          </w:p>
        </w:tc>
        <w:tc>
          <w:tcPr>
            <w:tcW w:type="dxa" w:w="2493"/>
            <w:vAlign w:val="center"/>
            <w:shd w:fill="17365D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Срок</w:t>
            </w:r>
          </w:p>
        </w:tc>
        <w:tc>
          <w:tcPr>
            <w:tcW w:type="dxa" w:w="2493"/>
            <w:vAlign w:val="center"/>
            <w:shd w:fill="17365D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Содержание</w:t>
            </w:r>
          </w:p>
        </w:tc>
        <w:tc>
          <w:tcPr>
            <w:tcW w:type="dxa" w:w="2493"/>
            <w:vAlign w:val="center"/>
            <w:shd w:fill="17365D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Результат</w:t>
            </w:r>
          </w:p>
        </w:tc>
      </w:tr>
      <w:tr>
        <w:tc>
          <w:tcPr>
            <w:tcW w:type="dxa" w:w="2493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0. Проектирование</w:t>
            </w:r>
          </w:p>
        </w:tc>
        <w:tc>
          <w:tcPr>
            <w:tcW w:type="dxa" w:w="2493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0–2 мес.</w:t>
            </w:r>
          </w:p>
        </w:tc>
        <w:tc>
          <w:tcPr>
            <w:tcW w:type="dxa" w:w="2493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правовая модель, регламенты, экономика, UX, требования к данным</w:t>
            </w:r>
          </w:p>
        </w:tc>
        <w:tc>
          <w:tcPr>
            <w:tcW w:type="dxa" w:w="2493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утвержденная модель пилота</w:t>
            </w:r>
          </w:p>
        </w:tc>
      </w:tr>
      <w:tr>
        <w:tc>
          <w:tcPr>
            <w:tcW w:type="dxa" w:w="2493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1. MVP</w:t>
            </w:r>
          </w:p>
        </w:tc>
        <w:tc>
          <w:tcPr>
            <w:tcW w:type="dxa" w:w="2493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3–5 мес.</w:t>
            </w:r>
          </w:p>
        </w:tc>
        <w:tc>
          <w:tcPr>
            <w:tcW w:type="dxa" w:w="2493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профиль, каталог задач, подбор, команды, договорные шаблоны, приемка, рейтинг</w:t>
            </w:r>
          </w:p>
        </w:tc>
        <w:tc>
          <w:tcPr>
            <w:tcW w:type="dxa" w:w="2493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работающий пилотный сервис</w:t>
            </w:r>
          </w:p>
        </w:tc>
      </w:tr>
      <w:tr>
        <w:tc>
          <w:tcPr>
            <w:tcW w:type="dxa" w:w="2493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2. Пилот</w:t>
            </w:r>
          </w:p>
        </w:tc>
        <w:tc>
          <w:tcPr>
            <w:tcW w:type="dxa" w:w="2493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6–9 мес.</w:t>
            </w:r>
          </w:p>
        </w:tc>
        <w:tc>
          <w:tcPr>
            <w:tcW w:type="dxa" w:w="2493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1–2 территории или отрасли, реальные заказчики, обучение операторов</w:t>
            </w:r>
          </w:p>
        </w:tc>
        <w:tc>
          <w:tcPr>
            <w:tcW w:type="dxa" w:w="2493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проверенные процессы и показатели</w:t>
            </w:r>
          </w:p>
        </w:tc>
      </w:tr>
      <w:tr>
        <w:tc>
          <w:tcPr>
            <w:tcW w:type="dxa" w:w="2493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3. Интеграции</w:t>
            </w:r>
          </w:p>
        </w:tc>
        <w:tc>
          <w:tcPr>
            <w:tcW w:type="dxa" w:w="2493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9–12 мес.</w:t>
            </w:r>
          </w:p>
        </w:tc>
        <w:tc>
          <w:tcPr>
            <w:tcW w:type="dxa" w:w="2493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ЭДО, платежные сервисы, образование, учетные и государственные системы при наличии оснований</w:t>
            </w:r>
          </w:p>
        </w:tc>
        <w:tc>
          <w:tcPr>
            <w:tcW w:type="dxa" w:w="2493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сквозной цифровой процесс</w:t>
            </w:r>
          </w:p>
        </w:tc>
      </w:tr>
      <w:tr>
        <w:tc>
          <w:tcPr>
            <w:tcW w:type="dxa" w:w="2493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4. Масштабирование</w:t>
            </w:r>
          </w:p>
        </w:tc>
        <w:tc>
          <w:tcPr>
            <w:tcW w:type="dxa" w:w="2493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12+ мес.</w:t>
            </w:r>
          </w:p>
        </w:tc>
        <w:tc>
          <w:tcPr>
            <w:tcW w:type="dxa" w:w="2493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тиражирование по отраслям и территориям, отраслевые стандарты</w:t>
            </w:r>
          </w:p>
        </w:tc>
        <w:tc>
          <w:tcPr>
            <w:tcW w:type="dxa" w:w="2493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сетевая кооперативная инфраструктура труда</w:t>
            </w:r>
          </w:p>
        </w:tc>
      </w:tr>
    </w:tbl>
    <w:p>
      <w:pPr>
        <w:pStyle w:val="Heading1"/>
        <w:keepNext/>
        <w:spacing w:before="200" w:after="100"/>
      </w:pPr>
      <w:r>
        <w:t>14. Система показателей</w:t>
      </w:r>
    </w:p>
    <w:p>
      <w:pPr>
        <w:pStyle w:val="ListBullet"/>
        <w:spacing w:after="60" w:line="259" w:lineRule="auto"/>
      </w:pPr>
      <w:r>
        <w:t>число зарегистрированных и активных участников;</w:t>
      </w:r>
    </w:p>
    <w:p>
      <w:pPr>
        <w:pStyle w:val="ListBullet"/>
        <w:spacing w:after="60" w:line="259" w:lineRule="auto"/>
      </w:pPr>
      <w:r>
        <w:t>число заказчиков, задач и завершенных проектов;</w:t>
      </w:r>
    </w:p>
    <w:p>
      <w:pPr>
        <w:pStyle w:val="ListBullet"/>
        <w:spacing w:after="60" w:line="259" w:lineRule="auto"/>
      </w:pPr>
      <w:r>
        <w:t>время от публикации задачи до формирования команды;</w:t>
      </w:r>
    </w:p>
    <w:p>
      <w:pPr>
        <w:pStyle w:val="ListBullet"/>
        <w:spacing w:after="60" w:line="259" w:lineRule="auto"/>
      </w:pPr>
      <w:r>
        <w:t>доля успешно принятых результатов;</w:t>
      </w:r>
    </w:p>
    <w:p>
      <w:pPr>
        <w:pStyle w:val="ListBullet"/>
        <w:spacing w:after="60" w:line="259" w:lineRule="auto"/>
      </w:pPr>
      <w:r>
        <w:t>объем выплат участникам и кооперативам;</w:t>
      </w:r>
    </w:p>
    <w:p>
      <w:pPr>
        <w:pStyle w:val="ListBullet"/>
        <w:spacing w:after="60" w:line="259" w:lineRule="auto"/>
      </w:pPr>
      <w:r>
        <w:t>доля повторных заказов;</w:t>
      </w:r>
    </w:p>
    <w:p>
      <w:pPr>
        <w:pStyle w:val="ListBullet"/>
        <w:spacing w:after="60" w:line="259" w:lineRule="auto"/>
      </w:pPr>
      <w:r>
        <w:t>доля участников, повысивших квалификацию и доход;</w:t>
      </w:r>
    </w:p>
    <w:p>
      <w:pPr>
        <w:pStyle w:val="ListBullet"/>
        <w:spacing w:after="60" w:line="259" w:lineRule="auto"/>
      </w:pPr>
      <w:r>
        <w:t>число сформированных устойчивых кооперативных команд;</w:t>
      </w:r>
    </w:p>
    <w:p>
      <w:pPr>
        <w:pStyle w:val="ListBullet"/>
        <w:spacing w:after="60" w:line="259" w:lineRule="auto"/>
      </w:pPr>
      <w:r>
        <w:t>доля споров и средний срок их разрешения;</w:t>
      </w:r>
    </w:p>
    <w:p>
      <w:pPr>
        <w:pStyle w:val="ListBullet"/>
        <w:spacing w:after="60" w:line="259" w:lineRule="auto"/>
      </w:pPr>
      <w:r>
        <w:t>экономический и социальный эффект пилотных программ.</w:t>
      </w:r>
    </w:p>
    <w:p>
      <w:pPr>
        <w:pStyle w:val="Heading1"/>
        <w:keepNext/>
        <w:spacing w:before="200" w:after="100"/>
      </w:pPr>
      <w:r>
        <w:t>15. Управление системой</w:t>
      </w:r>
    </w:p>
    <w:p>
      <w:pPr>
        <w:pStyle w:val="ListBullet"/>
        <w:spacing w:after="60" w:line="259" w:lineRule="auto"/>
      </w:pPr>
      <w:r>
        <w:t>Стратегический совет — цели, стандарты, развитие экосистемы;</w:t>
      </w:r>
    </w:p>
    <w:p>
      <w:pPr>
        <w:pStyle w:val="ListBullet"/>
        <w:spacing w:after="60" w:line="259" w:lineRule="auto"/>
      </w:pPr>
      <w:r>
        <w:t>Оператор платформы — технологии, данные, сервис и безопасность;</w:t>
      </w:r>
    </w:p>
    <w:p>
      <w:pPr>
        <w:pStyle w:val="ListBullet"/>
        <w:spacing w:after="60" w:line="259" w:lineRule="auto"/>
      </w:pPr>
      <w:r>
        <w:t>Правовой и комплаенс-контур — допустимые модели договоров и контроль рисков;</w:t>
      </w:r>
    </w:p>
    <w:p>
      <w:pPr>
        <w:pStyle w:val="ListBullet"/>
        <w:spacing w:after="60" w:line="259" w:lineRule="auto"/>
      </w:pPr>
      <w:r>
        <w:t>Экспертные отраслевые советы — квалификационные требования и критерии результата;</w:t>
      </w:r>
    </w:p>
    <w:p>
      <w:pPr>
        <w:pStyle w:val="ListBullet"/>
        <w:spacing w:after="60" w:line="259" w:lineRule="auto"/>
      </w:pPr>
      <w:r>
        <w:t>Региональные/отраслевые координаторы — формирование заказов и сообществ;</w:t>
      </w:r>
    </w:p>
    <w:p>
      <w:pPr>
        <w:pStyle w:val="ListBullet"/>
        <w:spacing w:after="60" w:line="259" w:lineRule="auto"/>
      </w:pPr>
      <w:r>
        <w:t>Комиссия по доверию и спорам — независимое рассмотрение конфликтов и апелляций рейтинга.</w:t>
      </w:r>
    </w:p>
    <w:p>
      <w:pPr>
        <w:pStyle w:val="Heading1"/>
        <w:keepNext/>
        <w:spacing w:before="200" w:after="100"/>
      </w:pPr>
      <w:r>
        <w:t>16. Ключевые риски и меры управления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rPr>
          <w:tblHeader w:val="true"/>
        </w:trPr>
        <w:tc>
          <w:tcPr>
            <w:tcW w:type="dxa" w:w="4986"/>
            <w:vAlign w:val="center"/>
            <w:shd w:fill="17365D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Риск</w:t>
            </w:r>
          </w:p>
        </w:tc>
        <w:tc>
          <w:tcPr>
            <w:tcW w:type="dxa" w:w="4986"/>
            <w:vAlign w:val="center"/>
            <w:shd w:fill="17365D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Мера</w:t>
            </w:r>
          </w:p>
        </w:tc>
      </w:tr>
      <w:tr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/>
                <w:sz w:val="18"/>
              </w:rPr>
              <w:t>Подмена трудовых отношений</w:t>
            </w:r>
          </w:p>
        </w:tc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автоматический комплаенс-чек и обязательная юридическая модель для соответствующих сценариев</w:t>
            </w:r>
          </w:p>
        </w:tc>
      </w:tr>
      <w:tr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/>
                <w:sz w:val="18"/>
              </w:rPr>
              <w:t>Недоверие к рейтингу</w:t>
            </w:r>
          </w:p>
        </w:tc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прозрачные критерии, доказательства, право на апелляцию</w:t>
            </w:r>
          </w:p>
        </w:tc>
      </w:tr>
      <w:tr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/>
                <w:sz w:val="18"/>
              </w:rPr>
              <w:t>Низкое качество заданий</w:t>
            </w:r>
          </w:p>
        </w:tc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стандартизированный бриф и критерии приемки до публикации</w:t>
            </w:r>
          </w:p>
        </w:tc>
      </w:tr>
      <w:tr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/>
                <w:sz w:val="18"/>
              </w:rPr>
              <w:t>Неплатежи</w:t>
            </w:r>
          </w:p>
        </w:tc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резервирование средств или иные механизмы обеспечения исполнения</w:t>
            </w:r>
          </w:p>
        </w:tc>
      </w:tr>
      <w:tr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/>
                <w:sz w:val="18"/>
              </w:rPr>
              <w:t>Алгоритмическая дискриминация</w:t>
            </w:r>
          </w:p>
        </w:tc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аудит моделей, минимизация чувствительных данных, человеческий пересмотр</w:t>
            </w:r>
          </w:p>
        </w:tc>
      </w:tr>
      <w:tr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/>
                <w:sz w:val="18"/>
              </w:rPr>
              <w:t>Фрагментация кооперативов</w:t>
            </w:r>
          </w:p>
        </w:tc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общие стандарты данных, компетенций и договорного взаимодействия</w:t>
            </w:r>
          </w:p>
        </w:tc>
      </w:tr>
      <w:tr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/>
                <w:sz w:val="18"/>
              </w:rPr>
              <w:t>Слабая экономика платформы</w:t>
            </w:r>
          </w:p>
        </w:tc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пилотирование монетизации и ограничение постоянных расходов до подтверждения спроса</w:t>
            </w:r>
          </w:p>
        </w:tc>
      </w:tr>
    </w:tbl>
    <w:p>
      <w:pPr>
        <w:pStyle w:val="Heading1"/>
        <w:keepNext/>
        <w:spacing w:before="200" w:after="100"/>
      </w:pPr>
      <w:r>
        <w:t>17. Стратегическое позиционирование</w:t>
      </w:r>
    </w:p>
    <w:p>
      <w:pPr>
        <w:spacing w:line="259" w:lineRule="auto"/>
      </w:pPr>
      <w:r>
        <w:t>КБТ должна позиционироваться как инфраструктура следующего поколения для занятости и производственной кооперации: не конкурент кадровым сайтам, а слой, который связывает спрос, компетенции, договоры, исполнение, обучение, расчеты и кооперативное предпринимательство в одном процессе.</w:t>
      </w:r>
    </w:p>
    <w:p>
      <w:pPr>
        <w:spacing w:line="259" w:lineRule="auto"/>
      </w:pPr>
      <w:r>
        <w:rPr>
          <w:b/>
        </w:rPr>
        <w:t xml:space="preserve">Формула КБТ: </w:t>
      </w:r>
      <w:r>
        <w:t>«от способности человека — к подтвержденной компетенции; от компетенции — к команде; от команды — к результату; от результата — к доходу, репутации и новому уровню участия».</w:t>
      </w:r>
    </w:p>
    <w:p>
      <w:pPr>
        <w:pStyle w:val="Heading1"/>
        <w:keepNext/>
        <w:spacing w:before="200" w:after="100"/>
      </w:pPr>
      <w:r>
        <w:t>18. Заключение</w:t>
      </w:r>
    </w:p>
    <w:p>
      <w:pPr>
        <w:spacing w:line="259" w:lineRule="auto"/>
      </w:pPr>
      <w:r>
        <w:t>Кооперативная Биржа Труда может стать базовым инфраструктурным элементом системы «Социальная кооперация», если ее строить не как идеологическую надстройку, а как практически работающий механизм: реальные заказы, юридически корректные отношения, прозрачные расчеты, измеримый результат и понятная польза каждому участнику.</w:t>
      </w:r>
    </w:p>
    <w:p>
      <w:pPr>
        <w:spacing w:line="259" w:lineRule="auto"/>
      </w:pPr>
      <w:r>
        <w:t>При таком подходе КБТ соединяет социальную политику, рынок труда, предпринимательство, образование и производственную кооперацию. Главным продуктом системы становится не вакансия, а организованная возможность человека участвовать в создании востребованного результата и последовательно увеличивать свою экономическую самостоятельность.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7F7F7F"/>
        <w:sz w:val="16"/>
      </w:rPr>
      <w:t>Социальная кооперация  •  Кооперативная Биржа Труда  •  Концепция 1.0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7365D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2F559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404040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color w:val="17365D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