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b/>
          <w:color w:val="19334C"/>
          <w:sz w:val="60"/>
        </w:rPr>
        <w:t>СПЕЦЗАЩИТА</w:t>
      </w:r>
    </w:p>
    <w:p>
      <w:pPr>
        <w:jc w:val="center"/>
      </w:pPr>
      <w:r>
        <w:rPr>
          <w:b/>
          <w:color w:val="A07022"/>
          <w:sz w:val="68"/>
        </w:rPr>
        <w:t>КИБАЛИОН</w:t>
      </w:r>
    </w:p>
    <w:p>
      <w:pPr>
        <w:jc w:val="center"/>
      </w:pPr>
      <w:r>
        <w:rPr>
          <w:i/>
          <w:color w:val="496075"/>
          <w:sz w:val="30"/>
        </w:rPr>
        <w:t>Семь принципов как язык системной архитектуры, баланса и саморегуляции</w:t>
      </w:r>
    </w:p>
    <w:p>
      <w:r>
        <w:br/>
      </w:r>
    </w:p>
    <w:p>
      <w:pPr>
        <w:jc w:val="center"/>
      </w:pPr>
      <w:r>
        <w:rPr>
          <w:b/>
          <w:sz w:val="24"/>
        </w:rPr>
        <w:t>Концептуально-методический документ</w:t>
      </w:r>
    </w:p>
    <w:p>
      <w:pPr>
        <w:jc w:val="center"/>
      </w:pPr>
      <w:r>
        <w:rPr>
          <w:sz w:val="22"/>
        </w:rPr>
        <w:t>СПЕЦЗАЩИТА • ЭКВИЛИБРИУМ • СФЕРА • ECO-PPA</w:t>
      </w:r>
    </w:p>
    <w:p>
      <w:pPr>
        <w:jc w:val="center"/>
      </w:pPr>
      <w:r>
        <w:rPr>
          <w:sz w:val="20"/>
        </w:rPr>
        <w:t>2026</w:t>
      </w:r>
    </w:p>
    <w:p>
      <w:r/>
    </w:p>
    <w:p>
      <w:pPr>
        <w:pStyle w:val="Heading1"/>
      </w:pPr>
      <w:r>
        <w:t>0. Методологическая оговорка</w:t>
      </w:r>
    </w:p>
    <w:p>
      <w:pPr>
        <w:spacing w:after="160"/>
      </w:pPr>
      <w:r>
        <w:t>Кибалион рассматривается в настоящем документе как философско-герметическая система образов и принципов. Его положения не подменяют научные теории, нормативные требования, инженерные расчёты и доказательные методы. В СПЕЦЗАЩИТЕ семь принципов используются как язык постановки вопросов, проектирования обратных связей и проверки целостности системы; все операционные решения должны иметь измеримые показатели, источники данных и процедуры валидации.</w:t>
      </w:r>
    </w:p>
    <w:p>
      <w:pPr>
        <w:pStyle w:val="Heading1"/>
      </w:pPr>
      <w:r>
        <w:t>1. Исполнительное резюме</w:t>
      </w:r>
    </w:p>
    <w:p>
      <w:r>
        <w:t>СПЕЦЗАЩИТА предлагается трактовать как кооперационную организацию исполнения, в которой философская рамка Кибалиона переводится в инженерные контуры: наблюдение, измерение, прогнозирование, балансировка, координация, исполнение и обратная связь. Ключевая идея - не "управлять миром принципами", а использовать принципы для того, чтобы не терять целостность при масштабировании сложной системы.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Философский принцип -&gt; системный вопрос -&gt; измеримая метрика -&gt; управленческое действие -&gt; проверяемый результат</w:t>
      </w:r>
    </w:p>
    <w:p>
      <w:pPr>
        <w:pStyle w:val="ListBullet"/>
        <w:spacing w:after="40"/>
      </w:pPr>
      <w:r>
        <w:t>ЭКВИЛИБРИУМ - слой наблюдения, моделирования, прогноза и интегральной оценки.</w:t>
      </w:r>
    </w:p>
    <w:p>
      <w:pPr>
        <w:pStyle w:val="ListBullet"/>
        <w:spacing w:after="40"/>
      </w:pPr>
      <w:r>
        <w:t>СФЕРА - пространство инициатив, участников, проектов, данных и коммуникаций.</w:t>
      </w:r>
    </w:p>
    <w:p>
      <w:pPr>
        <w:pStyle w:val="ListBullet"/>
        <w:spacing w:after="40"/>
      </w:pPr>
      <w:r>
        <w:t>ECO-PPA - механизм увязки ресурсов, обязательств, показателей и измеримого эффекта.</w:t>
      </w:r>
    </w:p>
    <w:p>
      <w:pPr>
        <w:pStyle w:val="ListBullet"/>
        <w:spacing w:after="40"/>
      </w:pPr>
      <w:r>
        <w:t>СПЕЦЗАЩИТА - контур кооперации и исполнения: консорциумы, пилоты, производство, масштабирование.</w:t>
      </w:r>
    </w:p>
    <w:p>
      <w:pPr>
        <w:pStyle w:val="ListBullet"/>
        <w:spacing w:after="40"/>
      </w:pPr>
      <w:r>
        <w:t>Археометр - оператор гармонизации: измеряет отклонения, связанность, критичность и динамический баланс.</w:t>
      </w:r>
    </w:p>
    <w:p>
      <w:pPr>
        <w:pStyle w:val="Heading1"/>
      </w:pPr>
      <w:r>
        <w:t>2. Семь принципов Кибалиона в языке СПЕЦЗАЩИТЫ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vAlign w:val="center"/>
            <w:shd w:fill="19334C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Принцип</w:t>
            </w:r>
          </w:p>
        </w:tc>
        <w:tc>
          <w:tcPr>
            <w:tcW w:type="dxa" w:w="2521"/>
            <w:vAlign w:val="center"/>
            <w:shd w:fill="19334C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Системная интерпретация</w:t>
            </w:r>
          </w:p>
        </w:tc>
        <w:tc>
          <w:tcPr>
            <w:tcW w:type="dxa" w:w="2521"/>
            <w:vAlign w:val="center"/>
            <w:shd w:fill="19334C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Метрика/модель</w:t>
            </w:r>
          </w:p>
        </w:tc>
        <w:tc>
          <w:tcPr>
            <w:tcW w:type="dxa" w:w="2521"/>
            <w:vAlign w:val="center"/>
            <w:shd w:fill="19334C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Применение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Ментализм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Любая программа начинается с модели мира, целей и критериев качества.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Карта целей; модель состояний X(t); функция цели J.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Стратегия, сценарное моделирование, цифровой двойник.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Соответствие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Подобные законы организации могут повторяться на разных масштабах, но требуют проверки.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Мультиуровневая модель; графы; рекурсивные модули.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Узел -&gt; кластер -&gt; регион -&gt; система.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Вибрация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Система всегда находится в динамике; важны частоты, ритмы и колебания.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Спектры, автокорреляция, Fourier/wavelet, lambdamax.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Мониторинг, темометр критичности, раннее предупреждение.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Полярность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Многие управленческие режимы образуют континуум противоположностей.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Порядок&lt;-&gt;хаос; централизация&lt;-&gt;автономия; риск&lt;-&gt;устойчивость.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Настройка допустимых диапазонов, а не поиск крайностей.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Ритм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Процессы имеют циклы и лаги; решение должно учитывать фазу процесса.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Периоды T, фазовые координаты theta, циклические индексы.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Косморитмология как календарно-циклическая аналитика.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Причина и следствие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Каждое вмешательство должно иметь прослеживаемую цепочку причин и эффектов.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DAG, причинные графы, counterfactual-анализ.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Оценка воздействия ECO-PPA, аудит решений.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Гендер/порождение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 инженерном прочтении - комплементарность генерации и отбора, инициативы и формы.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Exploration&lt;-&gt;exploitation; генератор&lt;-&gt;валидатор.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Инновационный цикл, НИОКР, портфель проектов.</w:t>
            </w:r>
          </w:p>
        </w:tc>
      </w:tr>
    </w:tbl>
    <w:p>
      <w:pPr>
        <w:pStyle w:val="Heading1"/>
      </w:pPr>
      <w:r>
        <w:t>3. Принцип Ментализма: модель прежде действия</w:t>
      </w:r>
    </w:p>
    <w:p>
      <w:r>
        <w:t>Для СПЕЦЗАЩИТЫ принцип ментализма переводится в требование: перед запуском действия должна существовать формализованная модель объекта, среды, угроз, ресурсов, ограничений и ожидаемого результата. Решение без модели считается гипотезой, а не управленческой нормой.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X(t+1) = F(X(t), U(t), E(t))</w:t>
      </w:r>
    </w:p>
    <w:p>
      <w:r>
        <w:t>Здесь X - состояние объекта, U - управленческое воздействие, E - внешняя среда. Функция F должна быть хотя бы частично идентифицирована по данным или экспертной модели и иметь механизм уточнения после каждого цикла.</w:t>
      </w:r>
    </w:p>
    <w:p>
      <w:pPr>
        <w:pStyle w:val="Heading1"/>
      </w:pPr>
      <w:r>
        <w:t>4. Принцип Соответствия: рекурсия и масштаб</w:t>
      </w:r>
    </w:p>
    <w:p>
      <w:r>
        <w:t>СПЕЦЗАЩИТА строится по рекурсивной логике: локальный модуль должен иметь минимально достаточный набор функций всей системы - наблюдать, оценивать, действовать и сообщать результат. При масштабировании меняются параметры и полномочия, но сохраняется структура цикла.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Модульl = {наблюдение, оценка, решение, исполнение, обратная связь} x масштабl</w:t>
      </w:r>
    </w:p>
    <w:p>
      <w:pPr>
        <w:pStyle w:val="ListBullet"/>
        <w:spacing w:after="40"/>
      </w:pPr>
      <w:r>
        <w:t>Объект/точка мониторинга - локальный уровень.</w:t>
      </w:r>
    </w:p>
    <w:p>
      <w:pPr>
        <w:pStyle w:val="ListBullet"/>
        <w:spacing w:after="40"/>
      </w:pPr>
      <w:r>
        <w:t>Проект/территория - кластерный уровень.</w:t>
      </w:r>
    </w:p>
    <w:p>
      <w:pPr>
        <w:pStyle w:val="ListBullet"/>
        <w:spacing w:after="40"/>
      </w:pPr>
      <w:r>
        <w:t>Отрасль/регион - межсистемный уровень.</w:t>
      </w:r>
    </w:p>
    <w:p>
      <w:pPr>
        <w:pStyle w:val="ListBullet"/>
        <w:spacing w:after="40"/>
      </w:pPr>
      <w:r>
        <w:t>Национальный/международный контур - уровень координации.</w:t>
      </w:r>
    </w:p>
    <w:p>
      <w:pPr>
        <w:pStyle w:val="Heading1"/>
      </w:pPr>
      <w:r>
        <w:t>5. Принцип Вибрации: динамика, критичность и Темометр</w:t>
      </w:r>
    </w:p>
    <w:p>
      <w:r>
        <w:t>В инженерной интерпретации "вибрация" означает, что состояние сложной системы нельзя оценивать по одной статической фотографии. Требуется измерять скорость изменений, спектральные компоненты, устойчивость и расстояние до критического режима.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T(crit) = w1*I + w2*C + w3*R − w4*|lambdamax| − w5*Ecost</w:t>
      </w:r>
    </w:p>
    <w:p>
      <w:r>
        <w:t>Темометр критичности не является физическим термометром. Это интегральный индекс, который объединяет связанность I, когерентность C, устойчивость R, максимальный показатель Ляпунова lambdamax и ресурсную цену Ecost. Все составляющие нормируются для конкретного класса объектов.</w:t>
      </w:r>
    </w:p>
    <w:p>
      <w:pPr>
        <w:pStyle w:val="Heading1"/>
      </w:pPr>
      <w:r>
        <w:t>6. Принцип Полярности: управление диапазонами</w:t>
      </w:r>
    </w:p>
    <w:p>
      <w:r>
        <w:t>Полярность используется не как утверждение о "двух силах", а как метод поиска управляемого диапазона между крайностями. Для каждого объекта задаются нижний порог, рабочий коридор и верхний порог.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x_min &lt; x_work &lt; x_max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vAlign w:val="center"/>
            <w:shd w:fill="496075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Полярность</w:t>
            </w:r>
          </w:p>
        </w:tc>
        <w:tc>
          <w:tcPr>
            <w:tcW w:type="dxa" w:w="3362"/>
            <w:vAlign w:val="center"/>
            <w:shd w:fill="496075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Риск нижней крайности</w:t>
            </w:r>
          </w:p>
        </w:tc>
        <w:tc>
          <w:tcPr>
            <w:tcW w:type="dxa" w:w="3362"/>
            <w:vAlign w:val="center"/>
            <w:shd w:fill="496075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Риск верхней крайности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Автономия &lt;-&gt; координация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Фрагментация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Гиперцентрализация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Разнообразие &lt;-&gt; стандартизация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Несовместимость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Монокультура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Стабильность &lt;-&gt; адаптивность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Застой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Турбулентность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Открытость &lt;-&gt; защита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Уязвимость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Изоляция</w:t>
            </w:r>
          </w:p>
        </w:tc>
      </w:tr>
    </w:tbl>
    <w:p>
      <w:pPr>
        <w:pStyle w:val="Heading1"/>
      </w:pPr>
      <w:r>
        <w:t>7. Принцип Ритма: Косморитмология как циклическая аналитика</w:t>
      </w:r>
    </w:p>
    <w:p>
      <w:r>
        <w:t>Косморитмология в прикладной версии СПЕЦЗАЩИТЫ - это дисциплина анализа циклов природных, технологических, социальных и астрономических процессов. Астрономические параметры могут использоваться как внешние временные ряды там, где существует проверяемая физическая связь; символические соответствия должны маркироваться отдельно и не смешиваться с причинными моделями.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x(t) = mu(t) + sum Ak cos(2pit/Tk + φk) + eps(t)</w:t>
      </w:r>
    </w:p>
    <w:p>
      <w:pPr>
        <w:pStyle w:val="ListBullet"/>
        <w:spacing w:after="40"/>
      </w:pPr>
      <w:r>
        <w:t>Сезонность и климатические циклы.</w:t>
      </w:r>
    </w:p>
    <w:p>
      <w:pPr>
        <w:pStyle w:val="ListBullet"/>
        <w:spacing w:after="40"/>
      </w:pPr>
      <w:r>
        <w:t>Солнечная активность и подтверждённые геофизические эффекты.</w:t>
      </w:r>
    </w:p>
    <w:p>
      <w:pPr>
        <w:pStyle w:val="ListBullet"/>
        <w:spacing w:after="40"/>
      </w:pPr>
      <w:r>
        <w:t>Технологические циклы, износ, ремонтные интервалы.</w:t>
      </w:r>
    </w:p>
    <w:p>
      <w:pPr>
        <w:pStyle w:val="ListBullet"/>
        <w:spacing w:after="40"/>
      </w:pPr>
      <w:r>
        <w:t>Социально-экономические циклы и событийные календарные контуры.</w:t>
      </w:r>
    </w:p>
    <w:p>
      <w:pPr>
        <w:pStyle w:val="ListBullet"/>
        <w:spacing w:after="40"/>
      </w:pPr>
      <w:r>
        <w:t>Спектральный анализ, вейвлеты, фазовая синхронизация, кросс-корреляция.</w:t>
      </w:r>
    </w:p>
    <w:p>
      <w:pPr>
        <w:pStyle w:val="Heading1"/>
      </w:pPr>
      <w:r>
        <w:t>8. Принцип Причины и Следствия: доказательность</w:t>
      </w:r>
    </w:p>
    <w:p>
      <w:r>
        <w:t>В СПЕЦЗАЩИТЕ любая гипотеза должна быть разделена на корреляцию, механизм и причинный эффект. Для этого вводятся причинные графы, контрольные группы, базовые линии и пост-оценка.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Эффект = Y(после, действие) − Y(контрфактическое)</w:t>
      </w:r>
    </w:p>
    <w:p>
      <w:pPr>
        <w:pStyle w:val="ListBullet"/>
        <w:spacing w:after="40"/>
      </w:pPr>
      <w:r>
        <w:t>Фиксация исходной точки (baseline).</w:t>
      </w:r>
    </w:p>
    <w:p>
      <w:pPr>
        <w:pStyle w:val="ListBullet"/>
        <w:spacing w:after="40"/>
      </w:pPr>
      <w:r>
        <w:t>Описание вмешательства и ответственного исполнителя.</w:t>
      </w:r>
    </w:p>
    <w:p>
      <w:pPr>
        <w:pStyle w:val="ListBullet"/>
        <w:spacing w:after="40"/>
      </w:pPr>
      <w:r>
        <w:t>Набор KPI и диапазонов допустимой ошибки.</w:t>
      </w:r>
    </w:p>
    <w:p>
      <w:pPr>
        <w:pStyle w:val="ListBullet"/>
        <w:spacing w:after="40"/>
      </w:pPr>
      <w:r>
        <w:t>Сравнение с контрольным сценарием.</w:t>
      </w:r>
    </w:p>
    <w:p>
      <w:pPr>
        <w:pStyle w:val="ListBullet"/>
        <w:spacing w:after="40"/>
      </w:pPr>
      <w:r>
        <w:t>Независимая верификация результата.</w:t>
      </w:r>
    </w:p>
    <w:p>
      <w:pPr>
        <w:pStyle w:val="Heading1"/>
      </w:pPr>
      <w:r>
        <w:t>9. Принцип Порождения: инновационный цикл</w:t>
      </w:r>
    </w:p>
    <w:p>
      <w:r>
        <w:t>Последний принцип полезно переводить в язык комплементарных процессов: генерация вариантов и их отбор. Для инновационной системы недостаточно генерировать идеи; необходимы испытания, фильтры безопасности, экономика и масштабирование.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Идея -&gt; гипотеза -&gt; прототип -&gt; пилот -&gt; валидация -&gt; стандарт -&gt; масштабирование</w:t>
      </w:r>
    </w:p>
    <w:p>
      <w:pPr>
        <w:pStyle w:val="Heading1"/>
      </w:pPr>
      <w:r>
        <w:t>10. Археометр как связующее ядро</w:t>
      </w:r>
    </w:p>
    <w:p>
      <w:r>
        <w:t>Археометр объединяет семь принципов в единый измерительный контур. Он не "измеряет духовность"; он рассчитывает состояние многомерной системы относительно заданных эталонов и ограничений.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B(X) = α*C + β*S + γ*A + δ*V − η*D − mu*R</w:t>
      </w:r>
    </w:p>
    <w:p>
      <w:r>
        <w:t>C - когерентность, S - устойчивость, A - адаптивность, V - разнообразие, D - внутреннее рассогласование, R - риск/хрупкость. Веса задаются паспортом конкретного объекта, а не универсально для всех систем.</w:t>
      </w:r>
    </w:p>
    <w:p>
      <w:pPr>
        <w:pStyle w:val="Heading1"/>
      </w:pPr>
      <w:r>
        <w:t>11. СПЕЦЗАЩИТА: интегрированная архитектура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vAlign w:val="center"/>
            <w:shd w:fill="19334C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3362"/>
            <w:vAlign w:val="center"/>
            <w:shd w:fill="19334C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3362"/>
            <w:vAlign w:val="center"/>
            <w:shd w:fill="19334C"/>
          </w:tcPr>
          <w:p>
            <w:r/>
            <w:r>
              <w:rPr>
                <w:rFonts w:ascii="Aptos" w:hAnsi="Aptos"/>
                <w:b/>
                <w:color w:val="FFFFFF"/>
                <w:sz w:val="18"/>
              </w:rPr>
              <w:t>Ключевой выход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Наблюдение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Данные территории, объектов, процессов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Потоки измерений, события, аномалии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ЭКВИЛИБРИУМ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Аналитика, прогноз, сценарии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Индексы, модели, предупреждения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Археометр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Интегральная оценка и баланс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Паспорт состояния, отклонения, приоритеты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СФЕРА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Инициативы, коммуникации, участники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Портфель решений и коопераций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ECO-PPA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Связка ресурсов и измеримого эффекта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Обязательства, KPI, финансирование</w:t>
            </w:r>
          </w:p>
        </w:tc>
      </w:tr>
      <w:tr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СПЕЦЗАЩИТА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Исполнение и масштабирование</w:t>
            </w:r>
          </w:p>
        </w:tc>
        <w:tc>
          <w:tcPr>
            <w:tcW w:type="dxa" w:w="3362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Пилоты, консорциумы, производство, внедрение</w:t>
            </w:r>
          </w:p>
        </w:tc>
      </w:tr>
    </w:tbl>
    <w:p>
      <w:pPr>
        <w:pStyle w:val="Heading1"/>
      </w:pPr>
      <w:r>
        <w:t>12. Протокол принятия решения</w:t>
      </w:r>
    </w:p>
    <w:p>
      <w:pPr>
        <w:spacing w:after="60"/>
      </w:pPr>
      <w:r>
        <w:rPr>
          <w:b/>
          <w:color w:val="A07022"/>
        </w:rPr>
        <w:t xml:space="preserve">01  Наблюдать - </w:t>
      </w:r>
      <w:r>
        <w:t>Получить данные и определить качество источников.</w:t>
      </w:r>
    </w:p>
    <w:p>
      <w:pPr>
        <w:spacing w:after="60"/>
      </w:pPr>
      <w:r>
        <w:rPr>
          <w:b/>
          <w:color w:val="A07022"/>
        </w:rPr>
        <w:t xml:space="preserve">02  Контекстуализировать - </w:t>
      </w:r>
      <w:r>
        <w:t>Определить цикл, фазу, внешние факторы и ограничения.</w:t>
      </w:r>
    </w:p>
    <w:p>
      <w:pPr>
        <w:spacing w:after="60"/>
      </w:pPr>
      <w:r>
        <w:rPr>
          <w:b/>
          <w:color w:val="A07022"/>
        </w:rPr>
        <w:t xml:space="preserve">03  Измерить - </w:t>
      </w:r>
      <w:r>
        <w:t>Рассчитать связанность, критичность, устойчивость и отклонения.</w:t>
      </w:r>
    </w:p>
    <w:p>
      <w:pPr>
        <w:spacing w:after="60"/>
      </w:pPr>
      <w:r>
        <w:rPr>
          <w:b/>
          <w:color w:val="A07022"/>
        </w:rPr>
        <w:t xml:space="preserve">04  Сформировать гипотезы - </w:t>
      </w:r>
      <w:r>
        <w:t>Сгенерировать не менее двух альтернативных объяснений/сценариев.</w:t>
      </w:r>
    </w:p>
    <w:p>
      <w:pPr>
        <w:spacing w:after="60"/>
      </w:pPr>
      <w:r>
        <w:rPr>
          <w:b/>
          <w:color w:val="A07022"/>
        </w:rPr>
        <w:t xml:space="preserve">05  Проверить причинность - </w:t>
      </w:r>
      <w:r>
        <w:t>Отделить совпадение от механизма и причинного эффекта.</w:t>
      </w:r>
    </w:p>
    <w:p>
      <w:pPr>
        <w:spacing w:after="60"/>
      </w:pPr>
      <w:r>
        <w:rPr>
          <w:b/>
          <w:color w:val="A07022"/>
        </w:rPr>
        <w:t xml:space="preserve">06  Выбрать действие - </w:t>
      </w:r>
      <w:r>
        <w:t>Оптимизировать ожидаемый эффект при заданных ограничениях риска.</w:t>
      </w:r>
    </w:p>
    <w:p>
      <w:pPr>
        <w:spacing w:after="60"/>
      </w:pPr>
      <w:r>
        <w:rPr>
          <w:b/>
          <w:color w:val="A07022"/>
        </w:rPr>
        <w:t xml:space="preserve">07  Исполнить - </w:t>
      </w:r>
      <w:r>
        <w:t>Назначить ответственного, ресурсы, сроки и контрольные точки.</w:t>
      </w:r>
    </w:p>
    <w:p>
      <w:pPr>
        <w:spacing w:after="60"/>
      </w:pPr>
      <w:r>
        <w:rPr>
          <w:b/>
          <w:color w:val="A07022"/>
        </w:rPr>
        <w:t xml:space="preserve">08  Валидировать - </w:t>
      </w:r>
      <w:r>
        <w:t>Сопоставить факт с прогнозом, обновить модель и веса Археометра.</w:t>
      </w:r>
    </w:p>
    <w:p>
      <w:pPr>
        <w:pStyle w:val="Heading1"/>
      </w:pPr>
      <w:r>
        <w:t>13. Научность, безопасность и границы применения</w:t>
      </w:r>
    </w:p>
    <w:p>
      <w:pPr>
        <w:pStyle w:val="ListBullet"/>
        <w:spacing w:after="40"/>
      </w:pPr>
      <w:r>
        <w:t>Философские принципы не считаются эмпирическими законами без независимых подтверждений.</w:t>
      </w:r>
    </w:p>
    <w:p>
      <w:pPr>
        <w:pStyle w:val="ListBullet"/>
        <w:spacing w:after="40"/>
      </w:pPr>
      <w:r>
        <w:t>Астрономические циклы включаются в причинные модели только при наличии физического механизма и статистической проверки.</w:t>
      </w:r>
    </w:p>
    <w:p>
      <w:pPr>
        <w:pStyle w:val="ListBullet"/>
        <w:spacing w:after="40"/>
      </w:pPr>
      <w:r>
        <w:t>Корреляции, полученные на малых выборках, маркируются как гипотезы.</w:t>
      </w:r>
    </w:p>
    <w:p>
      <w:pPr>
        <w:pStyle w:val="ListBullet"/>
        <w:spacing w:after="40"/>
      </w:pPr>
      <w:r>
        <w:t>Критические решения по безопасности, экологии, медицине и финансам требуют профильных нормативных процедур и экспертизы.</w:t>
      </w:r>
    </w:p>
    <w:p>
      <w:pPr>
        <w:pStyle w:val="ListBullet"/>
        <w:spacing w:after="40"/>
      </w:pPr>
      <w:r>
        <w:t>Археометр хранит версию модели, набор входных данных, веса, доверительные интервалы и историю пересчётов.</w:t>
      </w:r>
    </w:p>
    <w:p>
      <w:pPr>
        <w:pStyle w:val="ListBullet"/>
        <w:spacing w:after="40"/>
      </w:pPr>
      <w:r>
        <w:t>Система должна позволять воспроизводимость расчётов и внешний аудит.</w:t>
      </w:r>
    </w:p>
    <w:p>
      <w:pPr>
        <w:pStyle w:val="Heading1"/>
      </w:pPr>
      <w:r>
        <w:t>14. Пилот СПЕЦЗАЩИТА - КИБАЛИОН</w:t>
      </w:r>
    </w:p>
    <w:p>
      <w:r>
        <w:t>Предлагаемый пилот - один объект или территория, для которых уже существуют измеримые потоки данных и исполнители. Философская рамка тестируется не через убеждение, а через полезность: повышает ли она полноту вопросов, качество решений и скорость выявления рисков.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vAlign w:val="center"/>
            <w:shd w:fill="496075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Этап</w:t>
            </w:r>
          </w:p>
        </w:tc>
        <w:tc>
          <w:tcPr>
            <w:tcW w:type="dxa" w:w="2521"/>
            <w:vAlign w:val="center"/>
            <w:shd w:fill="496075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Срок</w:t>
            </w:r>
          </w:p>
        </w:tc>
        <w:tc>
          <w:tcPr>
            <w:tcW w:type="dxa" w:w="2521"/>
            <w:vAlign w:val="center"/>
            <w:shd w:fill="496075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Результат</w:t>
            </w:r>
          </w:p>
        </w:tc>
        <w:tc>
          <w:tcPr>
            <w:tcW w:type="dxa" w:w="2521"/>
            <w:vAlign w:val="center"/>
            <w:shd w:fill="496075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Критерий выхода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0. Паспортирование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2-4 недели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Объект, данные, показатели, владельцы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&gt;=80% ключевых показателей имеют источник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1. Базовая модель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1-2 месяца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Граф связей, циклы, критичность, baseline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Воспроизводимый расчёт индексов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2. Пилот решений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3-6 месяцев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Набор интервенций и сценариев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Сравнение прогноз/факт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3. Валидация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1-2 месяца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Отчёт доказательности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Независимое подтверждение части эффектов</w:t>
            </w:r>
          </w:p>
        </w:tc>
      </w:tr>
      <w:tr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4. Масштабирование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6-18 месяцев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Стандарт модуля СПЕЦЗАЩИТЫ</w:t>
            </w:r>
          </w:p>
        </w:tc>
        <w:tc>
          <w:tcPr>
            <w:tcW w:type="dxa" w:w="2521"/>
            <w:vAlign w:val="center"/>
          </w:tcPr>
          <w:p>
            <w:r/>
            <w:r>
              <w:rPr>
                <w:rFonts w:ascii="Aptos" w:hAnsi="Aptos"/>
                <w:b w:val="0"/>
                <w:sz w:val="17"/>
              </w:rPr>
              <w:t>Повторяемость на втором объекте</w:t>
            </w:r>
          </w:p>
        </w:tc>
      </w:tr>
    </w:tbl>
    <w:p>
      <w:pPr>
        <w:pStyle w:val="Heading1"/>
      </w:pPr>
      <w:r>
        <w:t>15. Итоговая формула</w:t>
      </w:r>
    </w:p>
    <w:p>
      <w:r>
        <w:t>Кибалион в СПЕЦЗАЩИТЕ полезен не как набор готовых ответов, а как семь постоянных вопросов к любой сложной системе: какая модель лежит в основе решения; что повторяется на разных масштабах; какова динамика; между какими крайностями находится рабочий режим; в какой фазе цикла находится объект; какова причинная цепочка; каким образом рождаются и отбираются новые решения.</w:t>
      </w:r>
    </w:p>
    <w:p>
      <w:pPr>
        <w:jc w:val="center"/>
      </w:pPr>
      <w:r>
        <w:rPr>
          <w:rFonts w:ascii="Cambria Math" w:hAnsi="Cambria Math"/>
          <w:b/>
          <w:color w:val="28415A"/>
          <w:sz w:val="23"/>
        </w:rPr>
        <w:t>Смысл -&gt; Модель -&gt; Метрика -&gt; Решение -&gt; Исполнение -&gt; Проверка -&gt; Обновление модели</w:t>
      </w:r>
    </w:p>
    <w:p>
      <w:r>
        <w:t>Именно этот замкнутый цикл превращает философскую рамку в прикладную систему управления развитием и защитой.</w:t>
      </w:r>
    </w:p>
    <w:p>
      <w:pPr>
        <w:pStyle w:val="Heading1"/>
      </w:pPr>
      <w:r>
        <w:t>Приложение А. Минимальный паспорт модуля</w:t>
      </w:r>
    </w:p>
    <w:p>
      <w:pPr>
        <w:pStyle w:val="ListBullet"/>
        <w:spacing w:after="40"/>
      </w:pPr>
      <w:r>
        <w:t>Код и наименование модуля.</w:t>
      </w:r>
    </w:p>
    <w:p>
      <w:pPr>
        <w:pStyle w:val="ListBullet"/>
        <w:spacing w:after="40"/>
      </w:pPr>
      <w:r>
        <w:t>Объект и масштаб наблюдения.</w:t>
      </w:r>
    </w:p>
    <w:p>
      <w:pPr>
        <w:pStyle w:val="ListBullet"/>
        <w:spacing w:after="40"/>
      </w:pPr>
      <w:r>
        <w:t>Цель и функция.</w:t>
      </w:r>
    </w:p>
    <w:p>
      <w:pPr>
        <w:pStyle w:val="ListBullet"/>
        <w:spacing w:after="40"/>
      </w:pPr>
      <w:r>
        <w:t>Входные данные и владельцы источников.</w:t>
      </w:r>
    </w:p>
    <w:p>
      <w:pPr>
        <w:pStyle w:val="ListBullet"/>
        <w:spacing w:after="40"/>
      </w:pPr>
      <w:r>
        <w:t>Набор показателей и формулы расчёта.</w:t>
      </w:r>
    </w:p>
    <w:p>
      <w:pPr>
        <w:pStyle w:val="ListBullet"/>
        <w:spacing w:after="40"/>
      </w:pPr>
      <w:r>
        <w:t>Связи с другими модулями.</w:t>
      </w:r>
    </w:p>
    <w:p>
      <w:pPr>
        <w:pStyle w:val="ListBullet"/>
        <w:spacing w:after="40"/>
      </w:pPr>
      <w:r>
        <w:t>Ритмы/циклы и частота обновления.</w:t>
      </w:r>
    </w:p>
    <w:p>
      <w:pPr>
        <w:pStyle w:val="ListBullet"/>
        <w:spacing w:after="40"/>
      </w:pPr>
      <w:r>
        <w:t>Пороговые значения и критические зоны.</w:t>
      </w:r>
    </w:p>
    <w:p>
      <w:pPr>
        <w:pStyle w:val="ListBullet"/>
        <w:spacing w:after="40"/>
      </w:pPr>
      <w:r>
        <w:t>Сценарии действия.</w:t>
      </w:r>
    </w:p>
    <w:p>
      <w:pPr>
        <w:pStyle w:val="ListBullet"/>
        <w:spacing w:after="40"/>
      </w:pPr>
      <w:r>
        <w:t>Ответственный исполнитель.</w:t>
      </w:r>
    </w:p>
    <w:p>
      <w:pPr>
        <w:pStyle w:val="ListBullet"/>
        <w:spacing w:after="40"/>
      </w:pPr>
      <w:r>
        <w:t>Критерии валидации и дата последней проверки.</w:t>
      </w:r>
    </w:p>
    <w:p>
      <w:pPr>
        <w:pStyle w:val="Heading1"/>
      </w:pPr>
      <w:r>
        <w:t>Приложение Б. Словарь ключевых терминов</w:t>
      </w:r>
    </w:p>
    <w:p>
      <w:pPr>
        <w:spacing w:after="60"/>
      </w:pPr>
      <w:r>
        <w:rPr>
          <w:b/>
          <w:color w:val="19334C"/>
        </w:rPr>
        <w:t xml:space="preserve">Археометр: </w:t>
      </w:r>
      <w:r>
        <w:t>Интегральный оператор оценки многомерного состояния и отклонения от заданного коридора баланса.</w:t>
      </w:r>
    </w:p>
    <w:p>
      <w:pPr>
        <w:spacing w:after="60"/>
      </w:pPr>
      <w:r>
        <w:rPr>
          <w:b/>
          <w:color w:val="19334C"/>
        </w:rPr>
        <w:t xml:space="preserve">Косморитмология: </w:t>
      </w:r>
      <w:r>
        <w:t>Анализ циклов и фаз природных, технологических, социальных и, при доказанной связи, астрономических процессов.</w:t>
      </w:r>
    </w:p>
    <w:p>
      <w:pPr>
        <w:spacing w:after="60"/>
      </w:pPr>
      <w:r>
        <w:rPr>
          <w:b/>
          <w:color w:val="19334C"/>
        </w:rPr>
        <w:t xml:space="preserve">Темометр критичности: </w:t>
      </w:r>
      <w:r>
        <w:t>Нормированный индекс расстояния системы до критического/неустойчивого режима.</w:t>
      </w:r>
    </w:p>
    <w:p>
      <w:pPr>
        <w:spacing w:after="60"/>
      </w:pPr>
      <w:r>
        <w:rPr>
          <w:b/>
          <w:color w:val="19334C"/>
        </w:rPr>
        <w:t xml:space="preserve">Структурная связанность: </w:t>
      </w:r>
      <w:r>
        <w:t>Свойства графа, определяющие достижимость, интеграцию, резервирование и риск фрагментации.</w:t>
      </w:r>
    </w:p>
    <w:p>
      <w:pPr>
        <w:spacing w:after="60"/>
      </w:pPr>
      <w:r>
        <w:rPr>
          <w:b/>
          <w:color w:val="19334C"/>
        </w:rPr>
        <w:t xml:space="preserve">Рекурсия МетаПроекта: </w:t>
      </w:r>
      <w:r>
        <w:t>Повторение базового управленческого цикла на разных масштабах системы.</w:t>
      </w:r>
    </w:p>
    <w:p>
      <w:pPr>
        <w:spacing w:after="60"/>
      </w:pPr>
      <w:r>
        <w:rPr>
          <w:b/>
          <w:color w:val="19334C"/>
        </w:rPr>
        <w:t xml:space="preserve">Единый Баланс: </w:t>
      </w:r>
      <w:r>
        <w:t>Рабочий коридор между конкурирующими требованиями устойчивости, адаптивности, разнообразия, ресурсов и риска.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Стратегический концепт • версия 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СПЕЦЗАЩИТА  •  КИБАЛИОН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9334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49607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5A5A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9334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