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ЭКВИЛИБРИУМ</w:t>
      </w:r>
    </w:p>
    <w:p>
      <w:pPr>
        <w:jc w:val="center"/>
      </w:pPr>
      <w:r>
        <w:rPr>
          <w:b/>
          <w:sz w:val="56"/>
        </w:rPr>
        <w:t>КАРТА ВАЛИДАЦИИ</w:t>
      </w:r>
    </w:p>
    <w:p>
      <w:pPr>
        <w:jc w:val="center"/>
      </w:pPr>
      <w:r>
        <w:rPr>
          <w:sz w:val="26"/>
        </w:rPr>
        <w:t>Единая система проверки идей, проектов, технологий, ресурсов и решений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10142"/>
            <w:shd w:fill="EEF4FB"/>
          </w:tcPr>
          <w:p>
            <w:r>
              <w:rPr>
                <w:b/>
                <w:sz w:val="22"/>
              </w:rPr>
              <w:t>Назначение документа</w:t>
              <w:br/>
            </w:r>
            <w:r>
              <w:rPr>
                <w:sz w:val="20"/>
              </w:rPr>
              <w:t>Установить единый, доказательный и воспроизводимый порядок допуска инициатив в контур ЭКВИЛИБРИУМ: от первичной проверки смысла и полезности до пилотирования, подтверждения эффекта и масштабирования.</w:t>
            </w:r>
          </w:p>
        </w:tc>
      </w:tr>
    </w:tbl>
    <w:p/>
    <w:p>
      <w:pPr>
        <w:jc w:val="center"/>
      </w:pPr>
      <w:r>
        <w:rPr>
          <w:i/>
        </w:rPr>
        <w:t>Версия 1.0 • 22 августа 2026 года</w:t>
      </w:r>
    </w:p>
    <w:p>
      <w:r>
        <w:br w:type="page"/>
      </w:r>
    </w:p>
    <w:p>
      <w:pPr>
        <w:pStyle w:val="Heading1"/>
      </w:pPr>
      <w:r>
        <w:t>1. Резюме</w:t>
      </w:r>
    </w:p>
    <w:p>
      <w:r>
        <w:t>Карта валидации — это единый механизм принятия решений в системе ЭКВИЛИБРИУМ. Она превращает субъективную оценку «хорошая идея / плохая идея» в последовательную процедуру, основанную на критериях, доказательствах, балльной оценке, экспертном заключении и измеримом результате.</w:t>
      </w:r>
    </w:p>
    <w:p>
      <w:pPr>
        <w:pStyle w:val="ListBullet"/>
      </w:pPr>
      <w:r>
        <w:t>Объект валидации: идея, проект, технология, продукт, участник, организация, финансовый инструмент, природоохранное решение, программа или иной элемент системы.</w:t>
      </w:r>
    </w:p>
    <w:p>
      <w:pPr>
        <w:pStyle w:val="ListBullet"/>
      </w:pPr>
      <w:r>
        <w:t>Результат: решение о допуске, доработке, пилотировании, масштабировании или отклонении.</w:t>
      </w:r>
    </w:p>
    <w:p>
      <w:pPr>
        <w:pStyle w:val="ListBullet"/>
      </w:pPr>
      <w:r>
        <w:t>Основа: 13 фундаментальных принципов × 20 проверочных направлений = 260 проверочных ячеек.</w:t>
      </w:r>
    </w:p>
    <w:p>
      <w:pPr>
        <w:pStyle w:val="ListBullet"/>
      </w:pPr>
      <w:r>
        <w:t>Шкала: каждая ячейка оценивается от 0 до 3 баллов; максимум — 780 баллов.</w:t>
      </w:r>
    </w:p>
    <w:p>
      <w:pPr>
        <w:pStyle w:val="ListBullet"/>
      </w:pPr>
      <w:r>
        <w:t>Ключевой принцип: валидируется не декларация, а доказуемая способность создавать положительный социальный, экологический, технологический и экономический результат.</w:t>
      </w:r>
    </w:p>
    <w:p>
      <w:pPr>
        <w:pStyle w:val="Heading1"/>
      </w:pPr>
      <w:r>
        <w:t>2. Три слоя валидации</w:t>
      </w:r>
    </w:p>
    <w:p>
      <w:pPr>
        <w:pStyle w:val="Heading2"/>
      </w:pPr>
      <w:r>
        <w:t>Слой I. Ценностно-смысловой</w:t>
      </w:r>
    </w:p>
    <w:p>
      <w:r>
        <w:t>Проверяет, зачем существует решение, кому оно служит, не разрушает ли баланс и соответствует ли базовой архитектуре ЭКВИЛИБРИУМ.</w:t>
      </w:r>
    </w:p>
    <w:p>
      <w:pPr>
        <w:pStyle w:val="Heading2"/>
      </w:pPr>
      <w:r>
        <w:t>Слой II. Доказательно-проектный</w:t>
      </w:r>
    </w:p>
    <w:p>
      <w:r>
        <w:t>Проверяет факты: проблему, технологию, право, экономику, команду, риски, ресурсы, метрики, доказательства и реализуемость.</w:t>
      </w:r>
    </w:p>
    <w:p>
      <w:pPr>
        <w:pStyle w:val="Heading2"/>
      </w:pPr>
      <w:r>
        <w:t>Слой III. Результативный</w:t>
      </w:r>
    </w:p>
    <w:p>
      <w:r>
        <w:t>Проверяет фактический эффект пилота, устойчивость результата, повторяемость, масштабируемость и долгосрочное наследие.</w:t>
      </w:r>
    </w:p>
    <w:p>
      <w:pPr>
        <w:pStyle w:val="Heading1"/>
      </w:pPr>
      <w:r>
        <w:t>3. Тринадцать оснований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5071"/>
            <w:vAlign w:val="center"/>
            <w:shd w:fill="D9EAF7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Основание</w:t>
            </w:r>
          </w:p>
        </w:tc>
        <w:tc>
          <w:tcPr>
            <w:tcW w:type="dxa" w:w="5071"/>
            <w:vAlign w:val="center"/>
            <w:shd w:fill="D9EAF7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Содержание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1. Смысл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Ясность миссии, общественной необходимости и причин существования решения.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2. Польза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Практическая ценность и измеримый положительный эффект.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3. Человек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Уважение достоинства, безопасности, возможностей и развития человека.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4. Общество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Вклад в устойчивость сообществ, солидарность и общественное благо.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5. Природа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Сохранение и восстановление природного равновесия, биоценозов и ресурсов.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6. Справедливость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Недискриминационный доступ, разумное распределение выгод и рисков.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7. Кооперация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Способность объединять участников и формировать взаимовыгодные связи.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8. Созидание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Производство новой ценности вместо переноса или маскировки ущерба.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9. Ответственность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Наличие владельца результата, обязательств и механизмов коррекции.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10. Прозрачность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Проверяемость данных, решений, финансовых потоков и методик.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11. Устойчивость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Жизнеспособность во времени, ресурсная и институциональная устойчивость.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12. Развитие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Способность повышать качество, компетенции, технологический уровень и масштаб эффекта.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13. Гармония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Согласование интересов человека, общества, экономики, государства и природы.</w:t>
            </w:r>
          </w:p>
        </w:tc>
      </w:tr>
    </w:tbl>
    <w:p>
      <w:pPr>
        <w:pStyle w:val="Heading1"/>
      </w:pPr>
      <w:r>
        <w:t>4. Двадцать проверочных направлений</w:t>
      </w:r>
    </w:p>
    <w:p>
      <w:r>
        <w:rPr>
          <w:b/>
        </w:rPr>
        <w:t xml:space="preserve">1. Цель. </w:t>
      </w:r>
      <w:r>
        <w:t>Есть ли конкретный желаемый результат и критерий его достижения?</w:t>
      </w:r>
    </w:p>
    <w:p>
      <w:r>
        <w:rPr>
          <w:b/>
        </w:rPr>
        <w:t xml:space="preserve">2. Проблема. </w:t>
      </w:r>
      <w:r>
        <w:t>Подтверждена ли проблема данными и существует ли причинно-следственная связь?</w:t>
      </w:r>
    </w:p>
    <w:p>
      <w:r>
        <w:rPr>
          <w:b/>
        </w:rPr>
        <w:t xml:space="preserve">3. Пользователь. </w:t>
      </w:r>
      <w:r>
        <w:t>Определён ли тот, кто непосредственно использует решение?</w:t>
      </w:r>
    </w:p>
    <w:p>
      <w:r>
        <w:rPr>
          <w:b/>
        </w:rPr>
        <w:t xml:space="preserve">4. Бенефициар. </w:t>
      </w:r>
      <w:r>
        <w:t>Понятно ли, кто получает конечный эффект и в какой форме?</w:t>
      </w:r>
    </w:p>
    <w:p>
      <w:r>
        <w:rPr>
          <w:b/>
        </w:rPr>
        <w:t xml:space="preserve">5. Ресурсы. </w:t>
      </w:r>
      <w:r>
        <w:t>Достаточны ли люди, технологии, данные, инфраструктура и время?</w:t>
      </w:r>
    </w:p>
    <w:p>
      <w:r>
        <w:rPr>
          <w:b/>
        </w:rPr>
        <w:t xml:space="preserve">6. Риски. </w:t>
      </w:r>
      <w:r>
        <w:t>Выявлены ли ключевые риски и предусмотрены ли меры управления?</w:t>
      </w:r>
    </w:p>
    <w:p>
      <w:r>
        <w:rPr>
          <w:b/>
        </w:rPr>
        <w:t xml:space="preserve">7. Эффект. </w:t>
      </w:r>
      <w:r>
        <w:t>Сформулирован ли ожидаемый социальный, экологический и экономический эффект?</w:t>
      </w:r>
    </w:p>
    <w:p>
      <w:r>
        <w:rPr>
          <w:b/>
        </w:rPr>
        <w:t xml:space="preserve">8. Метрики. </w:t>
      </w:r>
      <w:r>
        <w:t>Есть ли измеримые KPI, baseline и методика расчёта?</w:t>
      </w:r>
    </w:p>
    <w:p>
      <w:r>
        <w:rPr>
          <w:b/>
        </w:rPr>
        <w:t xml:space="preserve">9. Этика. </w:t>
      </w:r>
      <w:r>
        <w:t>Соблюдаются ли принципы добросовестности, достоинства и недопущения вреда?</w:t>
      </w:r>
    </w:p>
    <w:p>
      <w:r>
        <w:rPr>
          <w:b/>
        </w:rPr>
        <w:t xml:space="preserve">10. Право. </w:t>
      </w:r>
      <w:r>
        <w:t>Соответствует ли решение применимому праву и требованиям регулирования?</w:t>
      </w:r>
    </w:p>
    <w:p>
      <w:r>
        <w:rPr>
          <w:b/>
        </w:rPr>
        <w:t xml:space="preserve">11. Экономика. </w:t>
      </w:r>
      <w:r>
        <w:t>Проверена ли экономика проекта: затраты, доходы, выгоды, устойчивость?</w:t>
      </w:r>
    </w:p>
    <w:p>
      <w:r>
        <w:rPr>
          <w:b/>
        </w:rPr>
        <w:t xml:space="preserve">12. Технологии. </w:t>
      </w:r>
      <w:r>
        <w:t>Подтверждены ли техническая реализуемость, зрелость и безопасность?</w:t>
      </w:r>
    </w:p>
    <w:p>
      <w:r>
        <w:rPr>
          <w:b/>
        </w:rPr>
        <w:t xml:space="preserve">13. Управление. </w:t>
      </w:r>
      <w:r>
        <w:t>Определены ли роли, полномочия, контроль и ответственность?</w:t>
      </w:r>
    </w:p>
    <w:p>
      <w:r>
        <w:rPr>
          <w:b/>
        </w:rPr>
        <w:t xml:space="preserve">14. Коммуникация. </w:t>
      </w:r>
      <w:r>
        <w:t>Есть ли понятный контур взаимодействия с участниками и обществом?</w:t>
      </w:r>
    </w:p>
    <w:p>
      <w:r>
        <w:rPr>
          <w:b/>
        </w:rPr>
        <w:t xml:space="preserve">15. Масштабирование. </w:t>
      </w:r>
      <w:r>
        <w:t>Можно ли повторить решение в другом регионе, отрасли или масштабе?</w:t>
      </w:r>
    </w:p>
    <w:p>
      <w:r>
        <w:rPr>
          <w:b/>
        </w:rPr>
        <w:t xml:space="preserve">16. Партнёры. </w:t>
      </w:r>
      <w:r>
        <w:t>Подтверждены ли необходимые партнёры и их вклад?</w:t>
      </w:r>
    </w:p>
    <w:p>
      <w:r>
        <w:rPr>
          <w:b/>
        </w:rPr>
        <w:t xml:space="preserve">17. Финансирование. </w:t>
      </w:r>
      <w:r>
        <w:t>Есть ли реалистичная модель финансирования и источники капитала?</w:t>
      </w:r>
    </w:p>
    <w:p>
      <w:r>
        <w:rPr>
          <w:b/>
        </w:rPr>
        <w:t xml:space="preserve">18. Социальный результат. </w:t>
      </w:r>
      <w:r>
        <w:t>Как изменяются качество жизни, занятость, безопасность, доступность и доверие?</w:t>
      </w:r>
    </w:p>
    <w:p>
      <w:r>
        <w:rPr>
          <w:b/>
        </w:rPr>
        <w:t xml:space="preserve">19. Экологический результат. </w:t>
      </w:r>
      <w:r>
        <w:t>Как изменяются выбросы, ресурсы, биоразнообразие, почвы, вода, воздух и экосистемы?</w:t>
      </w:r>
    </w:p>
    <w:p>
      <w:r>
        <w:rPr>
          <w:b/>
        </w:rPr>
        <w:t xml:space="preserve">20. Долгосрочное наследие. </w:t>
      </w:r>
      <w:r>
        <w:t>Что останется после завершения финансирования или пилота?</w:t>
      </w:r>
    </w:p>
    <w:p>
      <w:pPr>
        <w:pStyle w:val="Heading1"/>
      </w:pPr>
      <w:r>
        <w:t>5. Матрица 13 × 20</w:t>
      </w:r>
    </w:p>
    <w:p>
      <w:r>
        <w:t>Каждый объект проходит 260 проверок: для каждого из 13 оснований рассматриваются все 20 направлений. Это позволяет увидеть не только общую привлекательность проекта, но и его «провалы» — например, сильную технологию при слабой правовой модели или высокий экологический эффект при отсутствии устойчивого финансирования.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10142"/>
            <w:shd w:fill="EEF4FB"/>
          </w:tcPr>
          <w:p>
            <w:r>
              <w:rPr>
                <w:b/>
                <w:sz w:val="22"/>
              </w:rPr>
              <w:t>Формула</w:t>
              <w:br/>
            </w:r>
            <w:r>
              <w:rPr>
                <w:sz w:val="20"/>
              </w:rPr>
              <w:t>Итоговый балл = сумма оценок по 260 ячейкам. Минимум — 0. Максимум — 780.</w:t>
            </w:r>
          </w:p>
        </w:tc>
      </w:tr>
    </w:tbl>
    <w:p/>
    <w:p>
      <w:pPr>
        <w:pStyle w:val="Heading1"/>
      </w:pPr>
      <w:r>
        <w:t>6. Шкала оценки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3381"/>
            <w:vAlign w:val="center"/>
            <w:shd w:fill="D9EAF7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Балл</w:t>
            </w:r>
          </w:p>
        </w:tc>
        <w:tc>
          <w:tcPr>
            <w:tcW w:type="dxa" w:w="3381"/>
            <w:vAlign w:val="center"/>
            <w:shd w:fill="D9EAF7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Статус ячейки</w:t>
            </w:r>
          </w:p>
        </w:tc>
        <w:tc>
          <w:tcPr>
            <w:tcW w:type="dxa" w:w="3381"/>
            <w:vAlign w:val="center"/>
            <w:shd w:fill="D9EAF7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Интерпретация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0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Не соответствует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Критерий не выполнен, доказательств нет или выявлено неприемлемое противоречие.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1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Требует доработки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Есть частичное соответствие, но доказательства или механизмы недостаточны.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2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Соответствует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Критерий выполнен и подтверждён достаточными доказательствами.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3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Сильная сторона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Критерий не просто выполнен, а создаёт значимое преимущество и может быть эталоном.</w:t>
            </w:r>
          </w:p>
        </w:tc>
      </w:tr>
    </w:tbl>
    <w:p>
      <w:pPr>
        <w:pStyle w:val="Heading1"/>
      </w:pPr>
      <w:r>
        <w:t>7. Итоговые уровни допуска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3381"/>
            <w:vAlign w:val="center"/>
            <w:shd w:fill="D9EAF7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Баллы</w:t>
            </w:r>
          </w:p>
        </w:tc>
        <w:tc>
          <w:tcPr>
            <w:tcW w:type="dxa" w:w="3381"/>
            <w:vAlign w:val="center"/>
            <w:shd w:fill="D9EAF7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Уровень</w:t>
            </w:r>
          </w:p>
        </w:tc>
        <w:tc>
          <w:tcPr>
            <w:tcW w:type="dxa" w:w="3381"/>
            <w:vAlign w:val="center"/>
            <w:shd w:fill="D9EAF7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Решение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0–260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Красная зона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Не готово к запуску. Требуется пересборка концепции или отказ.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261–520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Оранжевая зона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Перспективно, но требуется существенная доработка и повторная проверка.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521–650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Жёлтая зона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Допускается к ограниченному пилоту при наличии плана управления рисками.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651–730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Зелёная зона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Сильный проект. Допускается к масштабированию после подтверждения пилота.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731–780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Эталон ЭКВИЛИБРИУМ</w:t>
            </w:r>
          </w:p>
        </w:tc>
        <w:tc>
          <w:tcPr>
            <w:tcW w:type="dxa" w:w="338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Высокий уровень доказательности, зрелости и системного эффекта.</w:t>
            </w:r>
          </w:p>
        </w:tc>
      </w:tr>
    </w:tbl>
    <w:p>
      <w:pPr>
        <w:pStyle w:val="Heading1"/>
      </w:pPr>
      <w:r>
        <w:t>8. Критические стоп-факторы</w:t>
      </w:r>
    </w:p>
    <w:p>
      <w:r>
        <w:t>Высокий суммарный балл не компенсирует критические нарушения. Объект не может быть валидирован, если установлен хотя бы один стоп-фактор:</w:t>
      </w:r>
    </w:p>
    <w:p>
      <w:pPr>
        <w:pStyle w:val="ListBullet"/>
      </w:pPr>
      <w:r>
        <w:t>незаконность ключевого механизма или невозможность легального исполнения;</w:t>
      </w:r>
    </w:p>
    <w:p>
      <w:pPr>
        <w:pStyle w:val="ListBullet"/>
      </w:pPr>
      <w:r>
        <w:t>неприемлемый риск жизни, здоровью или безопасности;</w:t>
      </w:r>
    </w:p>
    <w:p>
      <w:pPr>
        <w:pStyle w:val="ListBullet"/>
      </w:pPr>
      <w:r>
        <w:t>фальсификация данных, результатов или происхождения активов;</w:t>
      </w:r>
    </w:p>
    <w:p>
      <w:pPr>
        <w:pStyle w:val="ListBullet"/>
      </w:pPr>
      <w:r>
        <w:t>отсутствие реального владельца ответственности;</w:t>
      </w:r>
    </w:p>
    <w:p>
      <w:pPr>
        <w:pStyle w:val="ListBullet"/>
      </w:pPr>
      <w:r>
        <w:t>существенный экологический ущерб без компенсирующих или восстановительных механизмов;</w:t>
      </w:r>
    </w:p>
    <w:p>
      <w:pPr>
        <w:pStyle w:val="ListBullet"/>
      </w:pPr>
      <w:r>
        <w:t>неустранимый конфликт интересов, скрывающий существенные риски;</w:t>
      </w:r>
    </w:p>
    <w:p>
      <w:pPr>
        <w:pStyle w:val="ListBullet"/>
      </w:pPr>
      <w:r>
        <w:t>невозможность подтвердить происхождение ключевых доказательств;</w:t>
      </w:r>
    </w:p>
    <w:p>
      <w:pPr>
        <w:pStyle w:val="ListBullet"/>
      </w:pPr>
      <w:r>
        <w:t>экономическая модель, основанная исключительно на переносе ущерба на третьих лиц или будущие поколения.</w:t>
      </w:r>
    </w:p>
    <w:p>
      <w:pPr>
        <w:pStyle w:val="Heading1"/>
      </w:pPr>
      <w:r>
        <w:t>9. Иерархия доказательств</w:t>
      </w:r>
    </w:p>
    <w:p>
      <w:r>
        <w:t>Оценка присваивается не по презентации, а по силе доказательств. Приоритетность доказательств:</w:t>
      </w:r>
    </w:p>
    <w:p>
      <w:pPr>
        <w:pStyle w:val="ListBullet"/>
      </w:pPr>
      <w:r>
        <w:t>А. Первичные подтверждения: измерения, испытания, реестры, договоры, бухгалтерские данные, протоколы, технические журналы.</w:t>
      </w:r>
    </w:p>
    <w:p>
      <w:pPr>
        <w:pStyle w:val="ListBullet"/>
      </w:pPr>
      <w:r>
        <w:t>B. Независимая верификация: аккредитованная лаборатория, аудит, экспертиза, сертификация, внешний валидатор.</w:t>
      </w:r>
    </w:p>
    <w:p>
      <w:pPr>
        <w:pStyle w:val="ListBullet"/>
      </w:pPr>
      <w:r>
        <w:t>C. Подтверждённый пилот: работающий объект, эксплуатационная статистика, данные пользователей и мониторинга.</w:t>
      </w:r>
    </w:p>
    <w:p>
      <w:pPr>
        <w:pStyle w:val="ListBullet"/>
      </w:pPr>
      <w:r>
        <w:t>D. Сопоставимые кейсы: доказанные результаты аналогичных решений в сравнимых условиях.</w:t>
      </w:r>
    </w:p>
    <w:p>
      <w:pPr>
        <w:pStyle w:val="ListBullet"/>
      </w:pPr>
      <w:r>
        <w:t>E. Экспертное заключение: квалифицированное мнение с раскрытой методикой и допущениями.</w:t>
      </w:r>
    </w:p>
    <w:p>
      <w:pPr>
        <w:pStyle w:val="ListBullet"/>
      </w:pPr>
      <w:r>
        <w:t>F. Декларация заявителя: используется как исходная информация, но сама по себе не является достаточным доказательством.</w:t>
      </w:r>
    </w:p>
    <w:p>
      <w:pPr>
        <w:pStyle w:val="Heading1"/>
      </w:pPr>
      <w:r>
        <w:t>10. Процедура валидации</w:t>
      </w:r>
    </w:p>
    <w:p>
      <w:pPr>
        <w:pStyle w:val="Heading2"/>
      </w:pPr>
      <w:r>
        <w:t>Шаг 1. Регистрация</w:t>
      </w:r>
    </w:p>
    <w:p>
      <w:r>
        <w:t>Объект получает идентификатор, владельца, версию и краткий паспорт.</w:t>
      </w:r>
    </w:p>
    <w:p>
      <w:pPr>
        <w:pStyle w:val="Heading2"/>
      </w:pPr>
      <w:r>
        <w:t>Шаг 2. Предскрининг</w:t>
      </w:r>
    </w:p>
    <w:p>
      <w:r>
        <w:t>Проверяются базовая комплектность, конфликт интересов, стоп-факторы и применимость критериев.</w:t>
      </w:r>
    </w:p>
    <w:p>
      <w:pPr>
        <w:pStyle w:val="Heading2"/>
      </w:pPr>
      <w:r>
        <w:t>Шаг 3. Документальная проверка</w:t>
      </w:r>
    </w:p>
    <w:p>
      <w:r>
        <w:t>Формируется реестр доказательств по 260 ячейкам.</w:t>
      </w:r>
    </w:p>
    <w:p>
      <w:pPr>
        <w:pStyle w:val="Heading2"/>
      </w:pPr>
      <w:r>
        <w:t>Шаг 4. Экспертная оценка</w:t>
      </w:r>
    </w:p>
    <w:p>
      <w:r>
        <w:t>Профильные эксперты выставляют баллы и фиксируют основания.</w:t>
      </w:r>
    </w:p>
    <w:p>
      <w:pPr>
        <w:pStyle w:val="Heading2"/>
      </w:pPr>
      <w:r>
        <w:t>Шаг 5. Риск-комитет</w:t>
      </w:r>
    </w:p>
    <w:p>
      <w:r>
        <w:t>Критические риски оцениваются отдельно от среднего балла.</w:t>
      </w:r>
    </w:p>
    <w:p>
      <w:pPr>
        <w:pStyle w:val="Heading2"/>
      </w:pPr>
      <w:r>
        <w:t>Шаг 6. Пилот</w:t>
      </w:r>
    </w:p>
    <w:p>
      <w:r>
        <w:t>Если требуется — проводится ограниченное испытание с заранее утверждёнными метриками.</w:t>
      </w:r>
    </w:p>
    <w:p>
      <w:pPr>
        <w:pStyle w:val="Heading2"/>
      </w:pPr>
      <w:r>
        <w:t>Шаг 7. Верификация результата</w:t>
      </w:r>
    </w:p>
    <w:p>
      <w:r>
        <w:t>Сравниваются baseline, плановые KPI и фактический эффект.</w:t>
      </w:r>
    </w:p>
    <w:p>
      <w:pPr>
        <w:pStyle w:val="Heading2"/>
      </w:pPr>
      <w:r>
        <w:t>Шаг 8. Решение</w:t>
      </w:r>
    </w:p>
    <w:p>
      <w:r>
        <w:t>Выдаётся статус: принять / принять с условиями / пилот / пересборка / отклонить.</w:t>
      </w:r>
    </w:p>
    <w:p>
      <w:pPr>
        <w:pStyle w:val="Heading2"/>
      </w:pPr>
      <w:r>
        <w:t>Шаг 9. Реестр</w:t>
      </w:r>
    </w:p>
    <w:p>
      <w:r>
        <w:t>Итог заносится в реестр валидированных решений ЭКВИЛИБРИУМ.</w:t>
      </w:r>
    </w:p>
    <w:p>
      <w:pPr>
        <w:pStyle w:val="Heading2"/>
      </w:pPr>
      <w:r>
        <w:t>Шаг 10. Ревалидация</w:t>
      </w:r>
    </w:p>
    <w:p>
      <w:r>
        <w:t>При существенных изменениях, новых данных или по установленному циклу объект проходит повторную проверку.</w:t>
      </w:r>
    </w:p>
    <w:p>
      <w:pPr>
        <w:pStyle w:val="Heading1"/>
      </w:pPr>
      <w:r>
        <w:t>11. Роли и ответственность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5071"/>
            <w:vAlign w:val="center"/>
            <w:shd w:fill="D9EAF7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Роль</w:t>
            </w:r>
          </w:p>
        </w:tc>
        <w:tc>
          <w:tcPr>
            <w:tcW w:type="dxa" w:w="5071"/>
            <w:vAlign w:val="center"/>
            <w:shd w:fill="D9EAF7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Ответственность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Заявитель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Предоставляет данные, доказательства, раскрывает риски и отвечает за достоверность исходной информации.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Координатор валидации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Организует процедуру, комплектность и маршрутизацию по экспертам.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Профильный эксперт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Оценивает предметную область и фиксирует мотивированное заключение.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Независимый валидатор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Подтверждает критические показатели и отсутствие существенных искажений.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Риск-комитет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Рассматривает стоп-факторы, сценарии ущерба и условия допуска.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Валидационный совет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Принимает итоговое решение по спорным, крупным и системным объектам.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Владелец реестра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  <w:t>Обеспечивает версионность, сохранность данных, историю решений и ревалидацию.</w:t>
            </w:r>
          </w:p>
        </w:tc>
      </w:tr>
    </w:tbl>
    <w:p>
      <w:pPr>
        <w:pStyle w:val="Heading1"/>
      </w:pPr>
      <w:r>
        <w:t>12. Паспорт валидационного решения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Идентификатор объекта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Наименование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Тип объекта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Заявитель / владелец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Дата и версия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Цель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Ключевые бенефициары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Суммарный балл / 780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Уровень допуска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Критические риски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Стоп-факторы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Условия допуска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Срок действия заключения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Дата ревалидации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Ответственный валидатор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8"/>
              </w:rPr>
              <w:t>Решение валидационного совета</w:t>
            </w:r>
          </w:p>
        </w:tc>
        <w:tc>
          <w:tcPr>
            <w:tcW w:type="dxa" w:w="5071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sectPr>
          <w:footerReference w:type="default" r:id="rId9"/>
          <w:pgSz w:w="12240" w:h="15840"/>
          <w:pgMar w:top="964" w:right="964" w:bottom="964" w:left="1134" w:header="720" w:footer="720" w:gutter="0"/>
          <w:cols w:space="720"/>
          <w:docGrid w:linePitch="360"/>
        </w:sectPr>
      </w:pPr>
    </w:p>
    <w:p>
      <w:pPr>
        <w:pStyle w:val="Heading1"/>
      </w:pPr>
      <w:r>
        <w:t>13. Рабочая карта 13 × 20</w:t>
      </w:r>
    </w:p>
    <w:p>
      <w:r>
        <w:t>В рабочей версии каждая ячейка содержит: балл 0–3, ссылку на доказательство, комментарий эксперта и при необходимости корректирующее действие.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</w:tblGrid>
      <w:tr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Основание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2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3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4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5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6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7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8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9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10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11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12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13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14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15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16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17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18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19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20</w:t>
            </w:r>
          </w:p>
        </w:tc>
        <w:tc>
          <w:tcPr>
            <w:tcW w:type="dxa" w:w="6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3"/>
              </w:rPr>
              <w:t>Σ</w:t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Смысл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Польза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Человек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Общество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Природа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Справедливость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Кооперация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Созидание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Ответственность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Прозрачность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Устойчивость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Развитие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  <w:tr>
        <w:tc>
          <w:tcPr>
            <w:tcW w:type="dxa" w:w="668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/>
                <w:sz w:val="12"/>
              </w:rPr>
              <w:t>Гармония</w:t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sz w:val="12"/>
              </w:rPr>
            </w:r>
          </w:p>
        </w:tc>
        <w:tc>
          <w:tcPr>
            <w:tcW w:type="dxa" w:w="668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12"/>
              </w:rPr>
            </w:r>
          </w:p>
        </w:tc>
      </w:tr>
    </w:tbl>
    <w:p>
      <w:r>
        <w:rPr>
          <w:b/>
        </w:rPr>
        <w:t xml:space="preserve">Нумерация направлений: </w:t>
      </w:r>
      <w:r>
        <w:t>1 Цель; 2 Проблема; 3 Пользователь; 4 Бенефициар; 5 Ресурсы; 6 Риски; 7 Эффект; 8 Метрики; 9 Этика; 10 Право; 11 Экономика; 12 Технологии; 13 Управление; 14 Коммуникация; 15 Масштабирование; 16 Партнёры; 17 Финансирование; 18 Социальный результат; 19 Экологический результат; 20 Долгосрочное наследие.</w:t>
      </w:r>
    </w:p>
    <w:p>
      <w:pPr>
        <w:sectPr>
          <w:pgSz w:w="15840" w:h="12240" w:orient="landscape"/>
          <w:pgMar w:top="680" w:right="567" w:bottom="680" w:left="567" w:header="720" w:footer="720" w:gutter="0"/>
          <w:cols w:space="720"/>
          <w:docGrid w:linePitch="360"/>
        </w:sectPr>
      </w:pPr>
    </w:p>
    <w:p>
      <w:pPr>
        <w:pStyle w:val="Heading1"/>
      </w:pPr>
      <w:r>
        <w:t>14. Связь с архитектурой ЭКВИЛИБРИУМ</w:t>
      </w:r>
    </w:p>
    <w:p>
      <w:r>
        <w:t>Карта валидации должна использоваться как универсальный шлюз между инициативой и ресурсами системы. Она может применяться в СФЕРЕ для отбора инициатив, в ECO-PPA для доказательности экологических проектов, в СПЕЦЗАЩИТЕ для допуска исполнителей и технологий, а также в ЭКВИЛИБРИУМ как часть единого реестра решений и мониторинга результата.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10142"/>
            <w:shd w:fill="EEF4FB"/>
          </w:tcPr>
          <w:p>
            <w:r>
              <w:rPr>
                <w:b/>
                <w:sz w:val="22"/>
              </w:rPr>
              <w:t>Целевой маршрут</w:t>
              <w:br/>
            </w:r>
            <w:r>
              <w:rPr>
                <w:sz w:val="20"/>
              </w:rPr>
              <w:t>Инициатива → предвалидация → экспертиза → кооперация → ресурсное обеспечение → пилот → верификация → подтверждённый результат → масштабирование → ревалидация.</w:t>
            </w:r>
          </w:p>
        </w:tc>
      </w:tr>
    </w:tbl>
    <w:p/>
    <w:p>
      <w:pPr>
        <w:pStyle w:val="Heading1"/>
      </w:pPr>
      <w:r>
        <w:t>15. Принцип неизменности</w:t>
      </w:r>
    </w:p>
    <w:p>
      <w:r>
        <w:t>Ни авторитет заявителя, ни объём инвестиций, ни политическая или институциональная значимость не должны заменять доказательства. Чем больше масштаб и потенциальный системный эффект решения, тем выше требования к независимой проверке, прозрачности данных и контролю рисков.</w:t>
      </w:r>
    </w:p>
    <w:p>
      <w:pPr>
        <w:pStyle w:val="Heading1"/>
      </w:pPr>
      <w:r>
        <w:t>16. Итоговый стандарт решения</w:t>
      </w:r>
    </w:p>
    <w:p>
      <w:r>
        <w:t>Валидированным считается объект, который одновременно:</w:t>
      </w:r>
    </w:p>
    <w:p>
      <w:pPr>
        <w:pStyle w:val="ListBullet"/>
      </w:pPr>
      <w:r>
        <w:t>не имеет критических стоп-факторов;</w:t>
      </w:r>
    </w:p>
    <w:p>
      <w:pPr>
        <w:pStyle w:val="ListBullet"/>
      </w:pPr>
      <w:r>
        <w:t>набрал достаточный балл для соответствующего уровня допуска;</w:t>
      </w:r>
    </w:p>
    <w:p>
      <w:pPr>
        <w:pStyle w:val="ListBullet"/>
      </w:pPr>
      <w:r>
        <w:t>имеет подтверждённые доказательства по ключевым критериям;</w:t>
      </w:r>
    </w:p>
    <w:p>
      <w:pPr>
        <w:pStyle w:val="ListBullet"/>
      </w:pPr>
      <w:r>
        <w:t>имеет владельца ответственности и понятную модель управления;</w:t>
      </w:r>
    </w:p>
    <w:p>
      <w:pPr>
        <w:pStyle w:val="ListBullet"/>
      </w:pPr>
      <w:r>
        <w:t>демонстрирует измеримый результат либо имеет корректный план пилотирования;</w:t>
      </w:r>
    </w:p>
    <w:p>
      <w:pPr>
        <w:pStyle w:val="ListBullet"/>
      </w:pPr>
      <w:r>
        <w:t>имеет определённый срок действия заключения и механизм ревалидации.</w:t>
      </w:r>
    </w:p>
    <w:p>
      <w:pPr>
        <w:jc w:val="center"/>
      </w:pPr>
      <w:r>
        <w:rPr>
          <w:b/>
          <w:sz w:val="26"/>
        </w:rPr>
        <w:t>Карта валидации ЭКВИЛИБРИУМ</w:t>
      </w:r>
    </w:p>
    <w:p>
      <w:pPr>
        <w:jc w:val="center"/>
      </w:pPr>
      <w:r>
        <w:rPr>
          <w:i/>
        </w:rPr>
        <w:t>«От идеи — к доказанному результату»</w:t>
      </w:r>
    </w:p>
    <w:sectPr w:rsidR="00FC693F" w:rsidRPr="0006063C" w:rsidSect="00034616">
      <w:pgSz w:w="12240" w:h="15840"/>
      <w:pgMar w:top="964" w:right="96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ЭКВИЛИБРИУМ • Карта валидации</w:t>
    </w:r>
    <w:r>
      <w:rPr>
        <w:sz w:val="16"/>
      </w:rPr>
      <w:t>ЭКВИЛИБРИУМ • Карта валидации</w:t>
    </w:r>
    <w:r>
      <w:rPr>
        <w:sz w:val="16"/>
      </w:rPr>
      <w:t>ЭКВИЛИБРИУМ • Карта валидации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