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pacing w:before="960"/>
      </w:pPr>
      <w:r>
        <w:rPr>
          <w:rFonts w:ascii="Calibri" w:hAnsi="Calibri" w:eastAsia="Calibri" w:cs="Calibri"/>
          <w:b/>
          <w:i w:val="0"/>
          <w:color w:val="2E74B5"/>
          <w:sz w:val="20"/>
        </w:rPr>
        <w:t>МЕТОДИЧЕСКОЕ РУКОВОДСТВО • 2026</w:t>
      </w:r>
    </w:p>
    <w:p>
      <w:pPr>
        <w:pStyle w:val="Title"/>
        <w:spacing w:before="360"/>
      </w:pPr>
      <w:r>
        <w:rPr>
          <w:rFonts w:ascii="Calibri" w:hAnsi="Calibri" w:eastAsia="Calibri" w:cs="Calibri"/>
          <w:b/>
          <w:i w:val="0"/>
          <w:color w:val="17365D"/>
          <w:sz w:val="68"/>
        </w:rPr>
        <w:t>Инструменты</w:t>
        <w:br/>
        <w:t>валидации</w:t>
      </w:r>
    </w:p>
    <w:p>
      <w:pPr>
        <w:spacing w:after="560"/>
      </w:pPr>
      <w:r>
        <w:rPr>
          <w:rFonts w:ascii="Calibri" w:hAnsi="Calibri" w:eastAsia="Calibri" w:cs="Calibri"/>
          <w:b/>
          <w:i w:val="0"/>
          <w:color w:val="1F4D78"/>
          <w:sz w:val="36"/>
        </w:rPr>
        <w:t>Архив сохранения наследия</w:t>
        <w:br/>
        <w:t>и интеллектуальная система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Главный принцип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Не существует одного универсального «сертификата доверия». Подтверждаются конкретное утверждение, конкретным методом, компетентным лицом, на определённую дату и для заданной цели использования.</w:t>
            </w:r>
          </w:p>
        </w:tc>
      </w:tr>
    </w:tbl>
    <w:p>
      <w:pPr>
        <w:spacing w:after="0"/>
      </w:pPr>
    </w:p>
    <w:p>
      <w:pPr>
        <w:spacing w:before="600"/>
      </w:pPr>
      <w:r>
        <w:rPr>
          <w:rFonts w:ascii="Calibri" w:hAnsi="Calibri" w:eastAsia="Calibri" w:cs="Calibri"/>
          <w:b/>
          <w:i w:val="0"/>
          <w:color w:val="2E74B5"/>
          <w:sz w:val="28"/>
        </w:rPr>
        <w:t>ВАЛИДАЦИЯ = ПРИГОДНОСТЬ ДЛЯ ЦЕЛИ</w:t>
        <w:br/>
        <w:t>ВЕРИФИКАЦИЯ = ПРАВДИВОСТЬ УТВЕРЖДЕНИЯ</w:t>
      </w:r>
    </w:p>
    <w:p>
      <w:pPr>
        <w:spacing w:before="1440"/>
      </w:pPr>
      <w:r>
        <w:rPr>
          <w:rFonts w:ascii="Calibri" w:hAnsi="Calibri" w:eastAsia="Calibri" w:cs="Calibri"/>
          <w:b w:val="0"/>
          <w:i w:val="0"/>
          <w:color w:val="5B6573"/>
          <w:sz w:val="20"/>
        </w:rPr>
        <w:t>Подготовлено для Сергея Леонидовича</w:t>
        <w:br/>
        <w:t>Рабочая версия • 26 августа 2026 года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01</w:t>
      </w:r>
    </w:p>
    <w:p>
      <w:pPr>
        <w:pStyle w:val="Heading1"/>
      </w:pPr>
      <w:r>
        <w:t>Что предлагается утвердить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Единая система доказательности для объектов, данных, экспертиз, моделей ИИ и заявлений об эффекте.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Валидация должна быть встроена в жизненный цикл объекта и решения: от приёма материала до публикации, повторного исследования и пересмотра вывода.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650"/>
        <w:gridCol w:w="2450"/>
        <w:gridCol w:w="6260"/>
      </w:tblGrid>
      <w:tr>
        <w:trPr>
          <w:tblHeader w:val="true"/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№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Решение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2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Разделить операции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Идентификация, испытание, валидация, верификация, сертификация и аккредитация имеют разные предметы и полномочия.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24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Создать реестр VAL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Каждый инструмент получает код, владельца метода, входы, критерии, доказательства, срок действия и правила повторной проверки.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2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Ввести паспорт валидации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Решение связывается с объектом, утверждением, методом, экспертом, версией данных и журналом событий.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24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Использовать критические шлюзы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Оценочный балл не может компенсировать отсутствие происхождения, целостности, прав или компетентного проверяющего.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2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Разделить исполнение и решение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Автоматизация готовит доказательства; уполномоченный человек принимает и подписывает решение.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24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Проводить независимую проверку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Высокорисковые утверждения и публичные заявления проверяются стороной без конфликта интересов.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Результат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Любое опубликованное утверждение можно проследить до версии объекта, входных данных, метода, исполнителя, контрольных тестов, замечаний и окончательного решения.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02</w:t>
      </w:r>
    </w:p>
    <w:p>
      <w:pPr>
        <w:pStyle w:val="Heading1"/>
      </w:pPr>
      <w:r>
        <w:t>Термины и границы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Сначала определяется вид подтверждения, затем выбираются метод и полномочия.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800"/>
        <w:gridCol w:w="4200"/>
        <w:gridCol w:w="3360"/>
      </w:tblGrid>
      <w:tr>
        <w:trPr>
          <w:tblHeader w:val="true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Операция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Предмет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Пример результата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Идентификация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Установление того, что объект или субъект однозначно определён.</w:t>
            </w:r>
          </w:p>
        </w:tc>
        <w:tc>
          <w:tcPr>
            <w:tcW w:type="dxa" w:w="3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Паспорт, устойчивый ID, авторитетная запись.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Проверка / контроль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Сопоставление результата с конкретным правилом или критерием.</w:t>
            </w:r>
          </w:p>
        </w:tc>
        <w:tc>
          <w:tcPr>
            <w:tcW w:type="dxa" w:w="3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Контрольная сумма совпала; поле заполнено.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Испытание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Определение характеристик по установленной процедуре.</w:t>
            </w:r>
          </w:p>
        </w:tc>
        <w:tc>
          <w:tcPr>
            <w:tcW w:type="dxa" w:w="3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Состав материала, прочность, спектр, состояние.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Калибровка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Установление связи показаний с эталонными значениями и неопределённостью.</w:t>
            </w:r>
          </w:p>
        </w:tc>
        <w:tc>
          <w:tcPr>
            <w:tcW w:type="dxa" w:w="3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Свидетельство и прослеживаемость измерения.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Валидация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Подтверждение правдоподобия и пригодности утверждения для предполагаемого будущего использования.</w:t>
            </w:r>
          </w:p>
        </w:tc>
        <w:tc>
          <w:tcPr>
            <w:tcW w:type="dxa" w:w="3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Метод пригоден для датировки данного типа образца.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Верификация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Подтверждение, что утверждение правдиво и корректно сформулировано по заданным требованиям.</w:t>
            </w:r>
          </w:p>
        </w:tc>
        <w:tc>
          <w:tcPr>
            <w:tcW w:type="dxa" w:w="3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Отчёт соответствует исходным данным и методу.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Сертификация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Подтверждение соответствия третьей стороной в рамках установленной схемы.</w:t>
            </w:r>
          </w:p>
        </w:tc>
        <w:tc>
          <w:tcPr>
            <w:tcW w:type="dxa" w:w="3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Применяется только при наличии схемы и полномочий.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Аккредитация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Официальное признание компетентности органа или лаборатории.</w:t>
            </w:r>
          </w:p>
        </w:tc>
        <w:tc>
          <w:tcPr>
            <w:tcW w:type="dxa" w:w="3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заменяет проверку конкретного объекта.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Оговорка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Проектная система VAL не присваивает государственную аккредитацию и не заменяет обязательную оценку соответствия. Она организует доказательства и маршрутизирует случаи к компетентным органам.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03</w:t>
      </w:r>
    </w:p>
    <w:p>
      <w:pPr>
        <w:pStyle w:val="Heading1"/>
      </w:pPr>
      <w:r>
        <w:t>Объект валидации — не вещь, а утверждение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Один объект может иметь несколько утверждений с разными методами, рисками и сроками действия.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Объект.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Физическая единица, цифровой файл, набор данных, модель, документ, коллекция или процесс.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Утверждение.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Конкретная проверяемая формулировка: «создан в 1957 году», «файл неизменён», «метод воспроизводим».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Цель использования.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Хранение, научное исследование, публикация, реставрация, судебное доказательство, обучение модели.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Критерий.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Измеримое условие принятия, допустимый диапазон, правило полноты или экспертный стандарт.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Доказательство.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Наблюдение, документ, измерение, журнал, контрольная сумма, независимое заключение или воспроизведение.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Решение.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Принято, принято с условиями, отклонено, не применимо или требуется повторная проверка.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Элемент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Пример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Утверждение</w:t>
            </w:r>
          </w:p>
        </w:tc>
        <w:tc>
          <w:tcPr>
            <w:tcW w:type="dxa" w:w="7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Архивный цифровой мастер соответствует принятому оригиналу.</w:t>
            </w:r>
          </w:p>
        </w:tc>
      </w:tr>
      <w:tr>
        <w:trPr>
          <w:cantSplit/>
        </w:trPr>
        <w:tc>
          <w:tcPr>
            <w:tcW w:type="dxa" w:w="2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Методы</w:t>
            </w:r>
          </w:p>
        </w:tc>
        <w:tc>
          <w:tcPr>
            <w:tcW w:type="dxa" w:w="7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Контрольная сумма, журнал оцифровки, визуальный контроль, контроль цветопередачи.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Критерий</w:t>
            </w:r>
          </w:p>
        </w:tc>
        <w:tc>
          <w:tcPr>
            <w:tcW w:type="dxa" w:w="7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Совпадение fixity; комплектность; отсутствие необъяснённых изменений; допустимые параметры качества.</w:t>
            </w:r>
          </w:p>
        </w:tc>
      </w:tr>
      <w:tr>
        <w:trPr>
          <w:cantSplit/>
        </w:trPr>
        <w:tc>
          <w:tcPr>
            <w:tcW w:type="dxa" w:w="2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Решение</w:t>
            </w:r>
          </w:p>
        </w:tc>
        <w:tc>
          <w:tcPr>
            <w:tcW w:type="dxa" w:w="7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Принято для долговременного хранения; производные создаются только из утверждённого мастера.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04</w:t>
      </w:r>
    </w:p>
    <w:p>
      <w:pPr>
        <w:pStyle w:val="Heading1"/>
      </w:pPr>
      <w:r>
        <w:t>Восемь доменов валидации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Доверие возникает только при совместном прохождении предметных и сквозных проверок.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850"/>
        <w:gridCol w:w="3000"/>
        <w:gridCol w:w="5510"/>
      </w:tblGrid>
      <w:tr>
        <w:trPr>
          <w:tblHeader w:val="true"/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Домен</w:t>
            </w:r>
          </w:p>
        </w:tc>
        <w:tc>
          <w:tcPr>
            <w:tcW w:type="dxa" w:w="5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Что подтверждается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D1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Идентичность и происхождение</w:t>
            </w:r>
          </w:p>
        </w:tc>
        <w:tc>
          <w:tcPr>
            <w:tcW w:type="dxa" w:w="5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Кто, что, когда, где; цепочка владения и хранения.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D2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Научная обоснованность</w:t>
            </w:r>
          </w:p>
        </w:tc>
        <w:tc>
          <w:tcPr>
            <w:tcW w:type="dxa" w:w="5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Метод, атрибуция, рецензирование, воспроизводимость.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D3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Физическое состояние</w:t>
            </w:r>
          </w:p>
        </w:tc>
        <w:tc>
          <w:tcPr>
            <w:tcW w:type="dxa" w:w="5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Осмотр, материалы, повреждения, реставрация, условия хранения.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D4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Цифровая целостность</w:t>
            </w:r>
          </w:p>
        </w:tc>
        <w:tc>
          <w:tcPr>
            <w:tcW w:type="dxa" w:w="5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Fixity, формат, пакет, копии, восстановление, миграция.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D5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Измерения и данные</w:t>
            </w:r>
          </w:p>
        </w:tc>
        <w:tc>
          <w:tcPr>
            <w:tcW w:type="dxa" w:w="5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Отбор проб, калибровка, неопределённость, лабораторная компетентность.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D6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Права, этика и безопасность</w:t>
            </w:r>
          </w:p>
        </w:tc>
        <w:tc>
          <w:tcPr>
            <w:tcW w:type="dxa" w:w="5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Правовые основания, доступ, персональные и чувствительные сведения.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D7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ИИ и алгоритмы</w:t>
            </w:r>
          </w:p>
        </w:tc>
        <w:tc>
          <w:tcPr>
            <w:tcW w:type="dxa" w:w="5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Данные, метрики, устойчивость, объяснимость, человеческий контроль.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D8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Эффект и публичные заявления</w:t>
            </w:r>
          </w:p>
        </w:tc>
        <w:tc>
          <w:tcPr>
            <w:tcW w:type="dxa" w:w="5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Базовая линия, причинность, показатели, независимая верификация.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05</w:t>
      </w:r>
    </w:p>
    <w:p>
      <w:pPr>
        <w:pStyle w:val="Heading1"/>
      </w:pPr>
      <w:r>
        <w:t>Уровни доказательности V0–V4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Уровень описывает силу подтверждения, а не «ценность» объекта.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900"/>
        <w:gridCol w:w="1700"/>
        <w:gridCol w:w="4400"/>
        <w:gridCol w:w="2360"/>
      </w:tblGrid>
      <w:tr>
        <w:trPr>
          <w:tblHeader w:val="true"/>
          <w:cantSplit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Уровень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Статус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Минимум доказательств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Допустимое использование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V0</w:t>
            </w:r>
          </w:p>
        </w:tc>
        <w:tc>
          <w:tcPr>
            <w:tcW w:type="dxa" w:w="1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проверено</w:t>
            </w:r>
          </w:p>
        </w:tc>
        <w:tc>
          <w:tcPr>
            <w:tcW w:type="dxa" w:w="4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Есть заявление или материал, но происхождение и метод не подтверждены.</w:t>
            </w:r>
          </w:p>
        </w:tc>
        <w:tc>
          <w:tcPr>
            <w:tcW w:type="dxa" w:w="2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публиковать как факт.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V1</w:t>
            </w:r>
          </w:p>
        </w:tc>
        <w:tc>
          <w:tcPr>
            <w:tcW w:type="dxa" w:w="1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Автоматическая проверка</w:t>
            </w:r>
          </w:p>
        </w:tc>
        <w:tc>
          <w:tcPr>
            <w:tcW w:type="dxa" w:w="4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Формат, полнота, контрольная сумма, правила, машинные подсказки.</w:t>
            </w:r>
          </w:p>
        </w:tc>
        <w:tc>
          <w:tcPr>
            <w:tcW w:type="dxa" w:w="2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Предварительный статус.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V2</w:t>
            </w:r>
          </w:p>
        </w:tc>
        <w:tc>
          <w:tcPr>
            <w:tcW w:type="dxa" w:w="1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Проверка хранителем</w:t>
            </w:r>
          </w:p>
        </w:tc>
        <w:tc>
          <w:tcPr>
            <w:tcW w:type="dxa" w:w="4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Комплектность, связь с фондом, права, журнал приёма, визуальный контроль.</w:t>
            </w:r>
          </w:p>
        </w:tc>
        <w:tc>
          <w:tcPr>
            <w:tcW w:type="dxa" w:w="2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Внутреннее использование.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V3</w:t>
            </w:r>
          </w:p>
        </w:tc>
        <w:tc>
          <w:tcPr>
            <w:tcW w:type="dxa" w:w="1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Профильная экспертиза</w:t>
            </w:r>
          </w:p>
        </w:tc>
        <w:tc>
          <w:tcPr>
            <w:tcW w:type="dxa" w:w="4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Компетентный специалист подтвердил метод, атрибуцию и ограничения.</w:t>
            </w:r>
          </w:p>
        </w:tc>
        <w:tc>
          <w:tcPr>
            <w:tcW w:type="dxa" w:w="2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Научное/публичное использование.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V4</w:t>
            </w:r>
          </w:p>
        </w:tc>
        <w:tc>
          <w:tcPr>
            <w:tcW w:type="dxa" w:w="1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Независимая верификация</w:t>
            </w:r>
          </w:p>
        </w:tc>
        <w:tc>
          <w:tcPr>
            <w:tcW w:type="dxa" w:w="4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Воспроизведение, межлабораторное сравнение или третья сторона без конфликта.</w:t>
            </w:r>
          </w:p>
        </w:tc>
        <w:tc>
          <w:tcPr>
            <w:tcW w:type="dxa" w:w="2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Высокорисковые решения и заявления.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Правило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V4 не обязателен для каждого поля. Требуемый уровень назначается утверждению по риску: последствия ошибки, обратимость решения, публичность, чувствительность и стоимость повторной проверки.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06</w:t>
      </w:r>
    </w:p>
    <w:p>
      <w:pPr>
        <w:pStyle w:val="Heading1"/>
      </w:pPr>
      <w:r>
        <w:t>Реестр инструментов VAL: происхождение и наука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Каждый инструмент имеет владельца методики, версию, область применимости и шаблон доказательства.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200"/>
        <w:gridCol w:w="3100"/>
        <w:gridCol w:w="5060"/>
      </w:tblGrid>
      <w:tr>
        <w:trPr>
          <w:tblHeader w:val="true"/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Инструмент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Основное доказательство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VAL-01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Аудит идентификационной записи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ID, обязательные поля, дубликаты, версия.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VAL-02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цепочки происхождения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Документы передачи, владельцы, хранители, разрывы.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VAL-03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Сверка авторитетных записей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Персоны, организации, варианты имён, даты.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VAL-04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Временная и географическая проверка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Датировка, координаты, исторические границы, источник.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VAL-05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Профильная атрибуционная экспертиза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Авторство, школа, типология, научный контекст.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VAL-06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Независимое рецензирование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Второй эксперт, конфликт интересов, разногласия.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VAL-07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Протокол воспроизводимости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Данные, код, оборудование, параметры, результат.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VAL-08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Сопоставление с эталонной коллекцией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Референсные объекты, признаки, отклонения.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07</w:t>
      </w:r>
    </w:p>
    <w:p>
      <w:pPr>
        <w:pStyle w:val="Heading1"/>
      </w:pPr>
      <w:r>
        <w:t>Реестр инструментов VAL: измерения и сохранность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Технические проверки должны быть повторяемыми и оставлять машиночитаемый журнал.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200"/>
        <w:gridCol w:w="3100"/>
        <w:gridCol w:w="5060"/>
      </w:tblGrid>
      <w:tr>
        <w:trPr>
          <w:tblHeader w:val="true"/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Инструмент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Основное доказательство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VAL-09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План отбора проб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Генеральная совокупность, способ отбора, репрезентативность.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VAL-10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Бюджет неопределённости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Источники погрешности, расчёт, допустимый диапазон.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VAL-11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калибровки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Свидетельство, срок, эталон, прослеживаемость.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VAL-12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Межлабораторное сравнение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Слепые образцы, сопоставление результатов, отклонения.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VAL-13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fixity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SHA-256/согласованный алгоритм, дата, копия, результат.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VAL-14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Валидация формата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Соответствие спецификации, профиль, ошибки, версия валидатора.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VAL-15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пакета передачи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Манифест, комплектность, структура, BagIt/профиль пакета.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VAL-16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Контрольное восстановление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Изолированная копия, время, полнота, пригодность результата.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08</w:t>
      </w:r>
    </w:p>
    <w:p>
      <w:pPr>
        <w:pStyle w:val="Heading1"/>
      </w:pPr>
      <w:r>
        <w:t>Реестр инструментов VAL: права, ИИ и эффект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Автоматизация и публичные заявления требуют самостоятельных линий проверки.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200"/>
        <w:gridCol w:w="3100"/>
        <w:gridCol w:w="5060"/>
      </w:tblGrid>
      <w:tr>
        <w:trPr>
          <w:tblHeader w:val="true"/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Инструмент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Основное доказательство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VAL-17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Матрица прав и лицензий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Правообладатель, основание, территория, срок, производные.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VAL-18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Этическая и приватностная оценка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Чувствительность, согласия, минимизация, вред.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VAL-19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Проверка полномочий доступа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Роль, цель, решение, срок, журнал выдачи.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VAL-20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Паспорт данных и модели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Происхождение датасета, ограничения, версия модели, назначение.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VAL-21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Набор TEVV-тестов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Тестирование, оценка, верификация и валидация в контексте применения.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VAL-22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Тест устойчивости и смещений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Срезы, крайние случаи, атаки, ошибки, неравномерность.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VAL-23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Журнал человеческого решения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Предложение ИИ, уверенность, проверяющий, итог, основание.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VAL-24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Мониторинг модели и инцидентов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Дрейф, качество, жалобы, остановка, повторная валидация.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VAL-25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Базовая линия эффекта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Исходное состояние, период, территория, источник данных.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VAL-26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Паспорт показателя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Определение, формула, единица, источник, периодичность.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VAL-27</w:t>
            </w:r>
          </w:p>
        </w:tc>
        <w:tc>
          <w:tcPr>
            <w:tcW w:type="dxa" w:w="3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Проверка причинного вклада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Альтернативы, внешние факторы, допущения, контрфактическая логика.</w:t>
            </w:r>
          </w:p>
        </w:tc>
      </w:tr>
      <w:tr>
        <w:trPr>
          <w:cantSplit/>
        </w:trPr>
        <w:tc>
          <w:tcPr>
            <w:tcW w:type="dxa" w:w="1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VAL-28</w:t>
            </w:r>
          </w:p>
        </w:tc>
        <w:tc>
          <w:tcPr>
            <w:tcW w:type="dxa" w:w="3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Независимая верификация заявления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Выборка доказательств, существенность, заключение третьей стороны.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09</w:t>
      </w:r>
    </w:p>
    <w:p>
      <w:pPr>
        <w:pStyle w:val="Heading1"/>
      </w:pPr>
      <w:r>
        <w:t>Паспорт валидации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Паспорт превращает заключение из текста в воспроизводимую и проверяемую запись.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Блок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Обязательные поля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Идентификаторы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ID паспорта, объекта, утверждения, фонда, версии.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Назначение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Цель использования, аудитория, последствия ошибки.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Область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Что включено и исключено; период, территория, выборка.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Критерии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Нормы, пороги, допуски, обязательные шлюзы.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Метод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Код VAL, версия методики, оборудование, ПО, модель.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Входы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Файлы, документы, пробы, реестровые записи, контрольные суммы.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Исполнители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Роли, компетенции, организация, независимость, конфликт интересов.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Результаты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Наблюдения, измерения, отклонения, неопределённость.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Решение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Статус, уровень V0–V4, условия, ограничения, срок действия.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Прослеживаемость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Подпись, дата, журнал события, ссылки на доказательства и последующие проверки.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10</w:t>
      </w:r>
    </w:p>
    <w:p>
      <w:pPr>
        <w:pStyle w:val="Heading1"/>
      </w:pPr>
      <w:r>
        <w:t>Процесс: восемь контрольных точек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Маршрут зависит от риска, но решение всегда должно быть отделено от подготовки доказательств.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700"/>
        <w:gridCol w:w="3000"/>
        <w:gridCol w:w="5660"/>
      </w:tblGrid>
      <w:tr>
        <w:trPr>
          <w:tblHeader w:val="true"/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Шаг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Действие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Выход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Регистрация утверждения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Объект, формулировка, цель, владелец.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Оценка риска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Последствия ошибки, обратимость, публичность, чувствительность.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Назначение схемы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Домены, инструменты VAL, уровень V, критические шлюзы.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Автоматический предконтроль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Полнота, формат, fixity, дубликаты, подсказки ИИ.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Предметная проверка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Хранитель, лаборатория или профильный эксперт.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Независимая верификация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При высоком риске — третья сторона или воспроизведение.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Решение и публикация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Статус, условия, подпись, машиночитаемая запись.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8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Мониторинг и пересмотр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Срок, событие-триггер, инцидент, новая версия данных или метода.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11</w:t>
      </w:r>
    </w:p>
    <w:p>
      <w:pPr>
        <w:pStyle w:val="Heading1"/>
      </w:pPr>
      <w:r>
        <w:t>Критические шлюзы и итоговое решение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Балльная модель помогает сравнивать полноту, но не отменяет обязательные условия.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900"/>
        <w:gridCol w:w="2300"/>
        <w:gridCol w:w="6160"/>
      </w:tblGrid>
      <w:tr>
        <w:trPr>
          <w:tblHeader w:val="true"/>
          <w:cantSplit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Шлюз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Условие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Критерий прохождения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G1</w:t>
            </w:r>
          </w:p>
        </w:tc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Идентичность</w:t>
            </w:r>
          </w:p>
        </w:tc>
        <w:tc>
          <w:tcPr>
            <w:tcW w:type="dxa" w:w="6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Объект и версия однозначно определены.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G2</w:t>
            </w:r>
          </w:p>
        </w:tc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Происхождение</w:t>
            </w:r>
          </w:p>
        </w:tc>
        <w:tc>
          <w:tcPr>
            <w:tcW w:type="dxa" w:w="6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Есть достаточная цепочка происхождения или явно зафиксированный разрыв.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G3</w:t>
            </w:r>
          </w:p>
        </w:tc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Целостность</w:t>
            </w:r>
          </w:p>
        </w:tc>
        <w:tc>
          <w:tcPr>
            <w:tcW w:type="dxa" w:w="6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Доказано отсутствие необъяснённых изменений в проверяемой версии.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G4</w:t>
            </w:r>
          </w:p>
        </w:tc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Права и безопасность</w:t>
            </w:r>
          </w:p>
        </w:tc>
        <w:tc>
          <w:tcPr>
            <w:tcW w:type="dxa" w:w="6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Есть основание на хранение, обработку и заявленный режим использования.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G5</w:t>
            </w:r>
          </w:p>
        </w:tc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Компетентность</w:t>
            </w:r>
          </w:p>
        </w:tc>
        <w:tc>
          <w:tcPr>
            <w:tcW w:type="dxa" w:w="6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 выполнил и решение принял уполномоченный специалист.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G6</w:t>
            </w:r>
          </w:p>
        </w:tc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Прослеживаемость</w:t>
            </w:r>
          </w:p>
        </w:tc>
        <w:tc>
          <w:tcPr>
            <w:tcW w:type="dxa" w:w="6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Доказательства, версии, замечания и решение доступны для аудита.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Статус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ПРИНЯТО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Все обязательные шлюзы пройдены; критерии выполнены.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ПРИНЯТО С УСЛОВИЯМИ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Есть некритические отклонения; назначены ограничения и срок устранения.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ТРЕБУЕТСЯ ПРОВЕРКА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Недостаточно доказательств или необходим независимый уровень.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ОТКЛОНЕНО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Критический шлюз не пройден или утверждение опровергнуто.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НЕ ПРИМЕНИМО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Метод или критерий неприменим к утверждению; причина документирована.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12</w:t>
      </w:r>
    </w:p>
    <w:p>
      <w:pPr>
        <w:pStyle w:val="Heading1"/>
      </w:pPr>
      <w:r>
        <w:t>Научная и лабораторная валидация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Компетентность лаборатории важна, но результат остаётся связанным с методом, пробой и неопределённостью.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До измерения.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Определить вопрос, матрицу образца, выборку, метод, пределы обнаружения, допустимую неопределённость и контрольные материалы.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Во время.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Зафиксировать оборудование, калибровку, условия, оператора, отклонения, холостые и контрольные пробы.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После.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Проверить расчёты, неопределённость, выбросы, цепочку данных, повторяемость и пригодность для заявленной интерпретации.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Независимо.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Для критических выводов использовать вторую лабораторию, межлабораторное сравнение или слепую повторную пробу.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ISO/IEC 17025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Стандарт задаёт требования к компетентности испытательных и калибровочных лабораторий и к получению достоверных результатов. В проекте он используется как ориентир; признание соответствия требует установленной процедуры.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13</w:t>
      </w:r>
    </w:p>
    <w:p>
      <w:pPr>
        <w:pStyle w:val="Heading1"/>
      </w:pPr>
      <w:r>
        <w:t>Цифровая и архивная валидация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Цифровая сохранность доказывается не наличием резервной копии, а регулярными событиями проверки и восстановления.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800"/>
        <w:gridCol w:w="7560"/>
      </w:tblGrid>
      <w:tr>
        <w:trPr>
          <w:tblHeader w:val="true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Этап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Инструменты доказательства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Приём</w:t>
            </w:r>
          </w:p>
        </w:tc>
        <w:tc>
          <w:tcPr>
            <w:tcW w:type="dxa" w:w="7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Манифест, комплектность, антивирусная проверка, fixity, журнал передачи.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Формат</w:t>
            </w:r>
          </w:p>
        </w:tc>
        <w:tc>
          <w:tcPr>
            <w:tcW w:type="dxa" w:w="7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Идентификация и валидация формата, профиль, технические зависимости.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Хранение</w:t>
            </w:r>
          </w:p>
        </w:tc>
        <w:tc>
          <w:tcPr>
            <w:tcW w:type="dxa" w:w="7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Несколько копий, разные среды, контроль доступа, регулярная проверка fixity.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Миграция</w:t>
            </w:r>
          </w:p>
        </w:tc>
        <w:tc>
          <w:tcPr>
            <w:tcW w:type="dxa" w:w="7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Сохранение исходного мастера, сравнение свойств до/после, документированное событие.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Восстановление</w:t>
            </w:r>
          </w:p>
        </w:tc>
        <w:tc>
          <w:tcPr>
            <w:tcW w:type="dxa" w:w="7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Периодическое испытание копии, измерение RTO/RPO, проверка пригодности.</w:t>
            </w:r>
          </w:p>
        </w:tc>
      </w:tr>
      <w:tr>
        <w:trPr>
          <w:cantSplit/>
        </w:trPr>
        <w:tc>
          <w:tcPr>
            <w:tcW w:type="dxa" w:w="1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Доступ</w:t>
            </w:r>
          </w:p>
        </w:tc>
        <w:tc>
          <w:tcPr>
            <w:tcW w:type="dxa" w:w="7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Выдаётся определённая версия; производные связаны с мастером и условиями использования.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Различие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Контрольная сумма обнаруживает случайное изменение, но сама по себе не доказывает подлинность происхождения и не защищает от активной подмены без независимого доверенного журнала.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14</w:t>
      </w:r>
    </w:p>
    <w:p>
      <w:pPr>
        <w:pStyle w:val="Heading1"/>
      </w:pPr>
      <w:r>
        <w:t>Валидация интеллектуальной системы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ИИ проверяется в контексте применения, на данных, похожих на реальные, и под непрерывным контролем после запуска.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000"/>
        <w:gridCol w:w="7360"/>
      </w:tblGrid>
      <w:tr>
        <w:trPr>
          <w:tblHeader w:val="true"/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7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Минимальная проверка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Назначение</w:t>
            </w:r>
          </w:p>
        </w:tc>
        <w:tc>
          <w:tcPr>
            <w:tcW w:type="dxa" w:w="7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Для какой задачи модель допустима; какие решения ей запрещены.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Данные</w:t>
            </w:r>
          </w:p>
        </w:tc>
        <w:tc>
          <w:tcPr>
            <w:tcW w:type="dxa" w:w="7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Происхождение, лицензии, качество, срезы, утечки, репрезентативность.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Базовый уровень</w:t>
            </w:r>
          </w:p>
        </w:tc>
        <w:tc>
          <w:tcPr>
            <w:tcW w:type="dxa" w:w="7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Сравнение с человеком, правилом или более простой системой.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Качество</w:t>
            </w:r>
          </w:p>
        </w:tc>
        <w:tc>
          <w:tcPr>
            <w:tcW w:type="dxa" w:w="7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Точность, полнота, калибровка уверенности, ошибки по типам объектов.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Устойчивость</w:t>
            </w:r>
          </w:p>
        </w:tc>
        <w:tc>
          <w:tcPr>
            <w:tcW w:type="dxa" w:w="7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Шумы, неполные входы, редкие случаи, смена формата, атаки.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Справедливость</w:t>
            </w:r>
          </w:p>
        </w:tc>
        <w:tc>
          <w:tcPr>
            <w:tcW w:type="dxa" w:w="7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Различия ошибок по релевантным группам и языкам; оценка вреда.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Объяснимость</w:t>
            </w:r>
          </w:p>
        </w:tc>
        <w:tc>
          <w:tcPr>
            <w:tcW w:type="dxa" w:w="7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Показываются источники, версия модели, уверенность и границы вывода.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Человек</w:t>
            </w:r>
          </w:p>
        </w:tc>
        <w:tc>
          <w:tcPr>
            <w:tcW w:type="dxa" w:w="7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Критические выводы подтверждаются; несогласие и причина сохраняются.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Мониторинг</w:t>
            </w:r>
          </w:p>
        </w:tc>
        <w:tc>
          <w:tcPr>
            <w:tcW w:type="dxa" w:w="7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Дрейф, инциденты, жалобы, пороги остановки, повторная валидация.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NIST AI RMF / TEVV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Практический контур связывает управление, контекст, измерение и управление риском; TEVV объединяет тестирование, оценку, верификацию и валидацию. Для архива результат ИИ остаётся предложением до человеческого решения.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15</w:t>
      </w:r>
    </w:p>
    <w:p>
      <w:pPr>
        <w:pStyle w:val="Heading1"/>
      </w:pPr>
      <w:r>
        <w:t>Независимость, компетентность и конфликт интересов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Сила заключения зависит не только от метода, но и от того, кто имел право его применять и принимать решение.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200"/>
        <w:gridCol w:w="4200"/>
        <w:gridCol w:w="29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Ответственность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Ограничение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Владелец утверждения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Формулирует цель и предоставляет доказательства.</w:t>
            </w:r>
          </w:p>
        </w:tc>
        <w:tc>
          <w:tcPr>
            <w:tcW w:type="dxa" w:w="2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принимает независимое решение.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Оператор проверки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Применяет метод, фиксирует наблюдения и отклонения.</w:t>
            </w:r>
          </w:p>
        </w:tc>
        <w:tc>
          <w:tcPr>
            <w:tcW w:type="dxa" w:w="2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изменяет критерии после результата.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Профильный эксперт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Интерпретирует данные и оценивает научную достаточность.</w:t>
            </w:r>
          </w:p>
        </w:tc>
        <w:tc>
          <w:tcPr>
            <w:tcW w:type="dxa" w:w="2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Декларирует компетенции и конфликт.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Верификатор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Независимо проверяет утверждение и существенные доказательства.</w:t>
            </w:r>
          </w:p>
        </w:tc>
        <w:tc>
          <w:tcPr>
            <w:tcW w:type="dxa" w:w="2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участвовал в создании проверяемого результата.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Владелец схемы VAL</w:t>
            </w:r>
          </w:p>
        </w:tc>
        <w:tc>
          <w:tcPr>
            <w:tcW w:type="dxa" w:w="4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Утверждает методы, уровни, формы и квалификацию.</w:t>
            </w:r>
          </w:p>
        </w:tc>
        <w:tc>
          <w:tcPr>
            <w:tcW w:type="dxa" w:w="2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вмешивается в единичное решение без протокола.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Апелляционная комиссия</w:t>
            </w:r>
          </w:p>
        </w:tc>
        <w:tc>
          <w:tcPr>
            <w:tcW w:type="dxa" w:w="4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Рассматривает спор, новые доказательства и процессуальные нарушения.</w:t>
            </w:r>
          </w:p>
        </w:tc>
        <w:tc>
          <w:tcPr>
            <w:tcW w:type="dxa" w:w="2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Организационно отделена от первичного решения.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16</w:t>
      </w:r>
    </w:p>
    <w:p>
      <w:pPr>
        <w:pStyle w:val="Heading1"/>
      </w:pPr>
      <w:r>
        <w:t>Минимальный комплект форм и журналов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Инструмент считается внедрённым только после появления владельца, формы, записи и процедуры пересмотра.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300"/>
        <w:gridCol w:w="3000"/>
        <w:gridCol w:w="5060"/>
      </w:tblGrid>
      <w:tr>
        <w:trPr>
          <w:tblHeader w:val="true"/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Форма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Ключевые поля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F-VAL-01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Заявка на валидацию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Утверждение, цель, риск, требуемый срок.</w:t>
            </w:r>
          </w:p>
        </w:tc>
      </w:tr>
      <w:tr>
        <w:trPr>
          <w:cantSplit/>
        </w:trPr>
        <w:tc>
          <w:tcPr>
            <w:tcW w:type="dxa" w:w="1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F-VAL-02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План проверки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Методы, выборка, критерии, роли, независимость.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F-VAL-03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Лист наблюдений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Факты, измерения, отклонения, ссылки на доказательства.</w:t>
            </w:r>
          </w:p>
        </w:tc>
      </w:tr>
      <w:tr>
        <w:trPr>
          <w:cantSplit/>
        </w:trPr>
        <w:tc>
          <w:tcPr>
            <w:tcW w:type="dxa" w:w="1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F-VAL-04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Заключение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Статус, уровень V, ограничения, срок, подпись.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F-VAL-05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Декларация конфликта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Связи, интересы, меры управления.</w:t>
            </w:r>
          </w:p>
        </w:tc>
      </w:tr>
      <w:tr>
        <w:trPr>
          <w:cantSplit/>
        </w:trPr>
        <w:tc>
          <w:tcPr>
            <w:tcW w:type="dxa" w:w="1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F-VAL-06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Протокол разногласий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Позиции экспертов, дополнительные проверки, решение.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F-VAL-07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Журнал ИИ-решений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Модель, версия, вход, ответ, уверенность, человек, итог.</w:t>
            </w:r>
          </w:p>
        </w:tc>
      </w:tr>
      <w:tr>
        <w:trPr>
          <w:cantSplit/>
        </w:trPr>
        <w:tc>
          <w:tcPr>
            <w:tcW w:type="dxa" w:w="1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F-VAL-08</w:t>
            </w:r>
          </w:p>
        </w:tc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Журнал мониторинга</w:t>
            </w:r>
          </w:p>
        </w:tc>
        <w:tc>
          <w:tcPr>
            <w:tcW w:type="dxa" w:w="5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События, дрейф, инциденты, жалобы, корректирующие действия.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F-VAL-09</w:t>
            </w:r>
          </w:p>
        </w:tc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Протокол повторной проверки</w:t>
            </w:r>
          </w:p>
        </w:tc>
        <w:tc>
          <w:tcPr>
            <w:tcW w:type="dxa" w:w="5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Триггер, изменившиеся данные/метод, новый статус.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17</w:t>
      </w:r>
    </w:p>
    <w:p>
      <w:pPr>
        <w:pStyle w:val="Heading1"/>
      </w:pPr>
      <w:r>
        <w:t>Пилот внедрения на 12 месяцев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Пилот должен проверить не число выданных заключений, а качество прослеживаемости и способность воспроизвести решение.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100"/>
        <w:gridCol w:w="2600"/>
        <w:gridCol w:w="5660"/>
      </w:tblGrid>
      <w:tr>
        <w:trPr>
          <w:tblHeader w:val="true"/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Срок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Фаза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0–2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Проектирование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Утвердить термины, домены, уровни V, критические шлюзы и владельцев схем.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3–4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Методы и формы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Описать 28 инструментов VAL; запустить паспорт, журналы и конфликт интересов.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5–7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Три потока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Научный объект, цифровой пакет и ИИ-функция; не менее 30 утверждений.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8–9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Независимая проверка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Повторить выборку решений внешними экспертами; испытать апелляцию.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10–11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Автоматизация</w:t>
            </w:r>
          </w:p>
        </w:tc>
        <w:tc>
          <w:tcPr>
            <w:tcW w:type="dxa" w:w="5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Интегрировать реестры, fixity, валидаторы форматов и журнал ИИ.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12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Аудит и масштаб</w:t>
            </w:r>
          </w:p>
        </w:tc>
        <w:tc>
          <w:tcPr>
            <w:tcW w:type="dxa" w:w="5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Проверить восстановимость доказательств, ошибки, сроки и решение о расширении.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Показатель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Как измерять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Прослеживаемость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решений, для которых восстановлен полный пакет доказательств.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Воспроизводимость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выборки, где независимая сторона получила сопоставимый результат.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Согласованность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Расхождение экспертов по типам утверждений и причинам.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Скорость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Медианное время по уровням риска без сокращения обязательных проверок.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Качество ИИ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принятых/отклонённых подсказок и ошибки после человеческой проверки.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Исправления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Срок закрытия замечаний и повторяемость первопричин.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18</w:t>
      </w:r>
    </w:p>
    <w:p>
      <w:pPr>
        <w:pStyle w:val="Heading1"/>
      </w:pPr>
      <w:r>
        <w:t>Нормативная опора и источники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Стандарты используются как основа проектирования; применимость и обязательность определяются отдельно для каждого процесса.</w:t>
      </w:r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[S1] </w:t>
      </w:r>
      <w:hyperlink r:id="rId11">
        <w:r>
          <w:rPr>
            <w:rFonts w:ascii="Calibri" w:hAnsi="Calibri"/>
            <w:color w:val="2E74B5"/>
            <w:sz w:val="18"/>
            <w:szCs w:val="18"/>
            <w:u w:val="single"/>
          </w:rPr>
          <w:t>ISO/IEC 17029:2019 — validation and verification bodies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[S2] </w:t>
      </w:r>
      <w:hyperlink r:id="rId12">
        <w:r>
          <w:rPr>
            <w:rFonts w:ascii="Calibri" w:hAnsi="Calibri"/>
            <w:color w:val="2E74B5"/>
            <w:sz w:val="18"/>
            <w:szCs w:val="18"/>
            <w:u w:val="single"/>
          </w:rPr>
          <w:t>ISO/IEC 17025:2017 — testing and calibration laboratories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[S3] </w:t>
      </w:r>
      <w:hyperlink r:id="rId13">
        <w:r>
          <w:rPr>
            <w:rFonts w:ascii="Calibri" w:hAnsi="Calibri"/>
            <w:color w:val="2E74B5"/>
            <w:sz w:val="18"/>
            <w:szCs w:val="18"/>
            <w:u w:val="single"/>
          </w:rPr>
          <w:t>ISO 14721:2025 — OAIS reference model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[S4] </w:t>
      </w:r>
      <w:hyperlink r:id="rId14">
        <w:r>
          <w:rPr>
            <w:rFonts w:ascii="Calibri" w:hAnsi="Calibri"/>
            <w:color w:val="2E74B5"/>
            <w:sz w:val="18"/>
            <w:szCs w:val="18"/>
            <w:u w:val="single"/>
          </w:rPr>
          <w:t>Library of Congress — PREMIS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[S5] </w:t>
      </w:r>
      <w:hyperlink r:id="rId15">
        <w:r>
          <w:rPr>
            <w:rFonts w:ascii="Calibri" w:hAnsi="Calibri"/>
            <w:color w:val="2E74B5"/>
            <w:sz w:val="18"/>
            <w:szCs w:val="18"/>
            <w:u w:val="single"/>
          </w:rPr>
          <w:t>W3C Recommendation — PROV-O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[S6] </w:t>
      </w:r>
      <w:hyperlink r:id="rId16">
        <w:r>
          <w:rPr>
            <w:rFonts w:ascii="Calibri" w:hAnsi="Calibri"/>
            <w:color w:val="2E74B5"/>
            <w:sz w:val="18"/>
            <w:szCs w:val="18"/>
            <w:u w:val="single"/>
          </w:rPr>
          <w:t>NIST — AI Risk Management Framework 1.0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[S7] </w:t>
      </w:r>
      <w:hyperlink r:id="rId17">
        <w:r>
          <w:rPr>
            <w:rFonts w:ascii="Calibri" w:hAnsi="Calibri"/>
            <w:color w:val="2E74B5"/>
            <w:sz w:val="18"/>
            <w:szCs w:val="18"/>
            <w:u w:val="single"/>
          </w:rPr>
          <w:t>NIST — TEVV-Athlon initial public draft notice</w:t>
        </w:r>
      </w:hyperlink>
    </w:p>
    <w:p>
      <w:pPr>
        <w:spacing w:after="100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[S8] </w:t>
      </w:r>
      <w:hyperlink r:id="rId18">
        <w:r>
          <w:rPr>
            <w:rFonts w:ascii="Calibri" w:hAnsi="Calibri"/>
            <w:color w:val="2E74B5"/>
            <w:sz w:val="18"/>
            <w:szCs w:val="18"/>
            <w:u w:val="single"/>
          </w:rPr>
          <w:t>IETF RFC 8493 — BagIt File Packaging Format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Статус модели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Коды VAL, уровни V0–V4, формы F-VAL и критические шлюзы G1–G6 являются предлагаемой внутренней архитектурой проекта. Они не объявлены международными стандартами и требуют утверждения владельцем системы.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 w:cs="Calibri"/>
        <w:b w:val="0"/>
        <w:i w:val="0"/>
        <w:color w:val="5B6573"/>
        <w:sz w:val="17"/>
      </w:rPr>
      <w:t xml:space="preserve">Методическое руководство  •  рабочая версия  •  </w:t>
    </w:r>
    <w:r>
      <w:rPr>
        <w:rFonts w:ascii="Calibri" w:hAnsi="Calibri" w:eastAsia="Calibri" w:cs="Calibri"/>
        <w:b w:val="0"/>
        <w:i w:val="0"/>
        <w:color w:val="5B6573"/>
        <w:sz w:val="17"/>
      </w:rPr>
      <w:t xml:space="preserve">Стр. </w:t>
    </w:r>
    <w:r>
      <w:rPr>
        <w:rFonts w:ascii="Calibri" w:hAnsi="Calibri" w:eastAsia="Calibri" w:cs="Calibri"/>
        <w:b w:val="0"/>
        <w:i w:val="0"/>
        <w:color w:val="5B6573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4680"/>
      <w:gridCol w:w="4680"/>
    </w:tblGrid>
    <w:tr>
      <w:trPr>
        <w:tblHeader w:val="true"/>
      </w:trPr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left"/>
          </w:pPr>
          <w:r/>
          <w:r>
            <w:rPr>
              <w:rFonts w:ascii="Calibri" w:hAnsi="Calibri" w:eastAsia="Calibri" w:cs="Calibri"/>
              <w:b/>
              <w:i w:val="0"/>
              <w:color w:val="2E74B5"/>
              <w:sz w:val="17"/>
            </w:rPr>
            <w:t>АРХИВ СОХРАНЕНИЯ НАСЛЕДИЯ</w:t>
          </w:r>
        </w:p>
      </w:tc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right"/>
          </w:pPr>
          <w:r/>
          <w:r>
            <w:rPr>
              <w:rFonts w:ascii="Calibri" w:hAnsi="Calibri" w:eastAsia="Calibri" w:cs="Calibri"/>
              <w:b/>
              <w:i w:val="0"/>
              <w:color w:val="5B6573"/>
              <w:sz w:val="17"/>
            </w:rPr>
            <w:t>ИНСТРУМЕНТЫ ВАЛИДАЦИИ</w:t>
          </w:r>
        </w:p>
      </w:tc>
    </w:tr>
  </w:tbl>
  <w:p>
    <w:pPr>
      <w:spacing w:after="0"/>
      <w:pBdr>
        <w:bottom w:val="single" w:sz="12" w:space="1" w:color="DDEBF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  <w:jc w:val="left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/>
      <w:jc w:val="left"/>
    </w:pPr>
    <w:rPr>
      <w:rFonts w:asciiTheme="majorHAnsi" w:eastAsiaTheme="majorEastAsia" w:hAnsiTheme="majorHAnsi" w:cstheme="majorBidi" w:ascii="Calibri" w:hAnsi="Calibri"/>
      <w:b w:val="0"/>
      <w:i/>
      <w:iCs/>
      <w:color w:val="5B6573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widowControl/>
      <w:numPr>
        <w:numId w:val="6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100"/>
    </w:pPr>
    <w:rPr>
      <w:rFonts w:ascii="Calibri" w:hAnsi="Calibri"/>
      <w:b/>
      <w:color w:val="2E74B5"/>
      <w:sz w:val="18"/>
    </w:rPr>
  </w:style>
  <w:style w:type="paragraph" w:customStyle="1" w:styleId="QuoteBox">
    <w:name w:val="Quote Box"/>
    <w:pPr>
      <w:keepLines/>
      <w:spacing w:before="120" w:after="120" w:line="283" w:lineRule="auto"/>
      <w:ind w:left="259" w:right="259"/>
    </w:pPr>
    <w:rPr>
      <w:rFonts w:ascii="Calibri" w:hAnsi="Calibri"/>
      <w:b/>
      <w:color w:val="17365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iso.org/standard/29352.html" TargetMode="External"/><Relationship Id="rId12" Type="http://schemas.openxmlformats.org/officeDocument/2006/relationships/hyperlink" Target="https://www.iso.org/ISO-IEC-17025-testing-and-calibration-laboratories.html" TargetMode="External"/><Relationship Id="rId13" Type="http://schemas.openxmlformats.org/officeDocument/2006/relationships/hyperlink" Target="https://www.iso.org/standard/87471.html" TargetMode="External"/><Relationship Id="rId14" Type="http://schemas.openxmlformats.org/officeDocument/2006/relationships/hyperlink" Target="https://www.loc.gov/standards/premis/index.html" TargetMode="External"/><Relationship Id="rId15" Type="http://schemas.openxmlformats.org/officeDocument/2006/relationships/hyperlink" Target="https://www.w3.org/TR/prov-o/" TargetMode="External"/><Relationship Id="rId16" Type="http://schemas.openxmlformats.org/officeDocument/2006/relationships/hyperlink" Target="https://www.nist.gov/publications/artificial-intelligence-risk-management-framework-ai-rmf-10" TargetMode="External"/><Relationship Id="rId17" Type="http://schemas.openxmlformats.org/officeDocument/2006/relationships/hyperlink" Target="https://www.nist.gov/artificial-intelligence/ai-research/tevv-athlon-framework-evaluating-ai-systems" TargetMode="External"/><Relationship Id="rId18" Type="http://schemas.openxmlformats.org/officeDocument/2006/relationships/hyperlink" Target="https://datatracker.ietf.org/doc/html/rfc8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Инструменты валидации: Архив и интеллектуальная система</dc:title>
  <dc:subject>Методика, реестр инструментов, уровни доказательности и протоколы</dc:subject>
  <dc:creator>OpenAI</dc:creator>
  <cp:keywords>валидация, верификация, архив, ИИ, TEVV, ISO 17029, ISO 17025, PREMIS</cp:keywords>
  <dc:description>Проектная методика; не заменяет обязательную оценку соответствия и аккредитацию.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