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ИНДУСТРИАЛЬНЫЕ МЕГАПРОЕКТЫ</w:t>
      </w:r>
    </w:p>
    <w:p>
      <w:pPr>
        <w:jc w:val="center"/>
      </w:pPr>
      <w:r>
        <w:rPr>
          <w:b/>
          <w:sz w:val="28"/>
        </w:rPr>
        <w:t>Аналитическая доктрина</w:t>
        <w:br/>
      </w:r>
      <w:r>
        <w:rPr>
          <w:i/>
        </w:rPr>
        <w:t>Архитектура формирования, финансирования и реализации проектов национального и международного масштаба</w:t>
      </w:r>
    </w:p>
    <w:p>
      <w:pPr>
        <w:jc w:val="center"/>
      </w:pPr>
      <w:r>
        <w:t>Версия 1.0 • август 2026</w:t>
      </w:r>
    </w:p>
    <w:p>
      <w:pPr>
        <w:pStyle w:val="Heading1"/>
      </w:pPr>
      <w:r>
        <w:t>1. Резюме</w:t>
      </w:r>
    </w:p>
    <w:p>
      <w:r>
        <w:t>Индустриальный мегапроект — это не просто крупная стройка. Это связанная система промышленности, инфраструктуры, энергетики, логистики, науки, технологий, капитала и кадров, способная изменить экономику территории, сформировать новый рынок и создать долгосрочный производственный контур.</w:t>
      </w:r>
    </w:p>
    <w:p>
      <w:r>
        <w:t>Ключевой признак мегапроекта — мультипликативный эффект: вокруг базового объекта возникают цепочки поставщиков, инженерные центры, образовательные программы, новые города или агломерации, транспортные и энергетические сети, экспортные потоки и финансовые инструменты.</w:t>
      </w:r>
    </w:p>
    <w:p>
      <w:pPr>
        <w:pStyle w:val="Heading1"/>
      </w:pPr>
      <w:r>
        <w:t>2. Критерии индустриального мегапроекта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t>Критерий</w:t>
            </w:r>
          </w:p>
        </w:tc>
        <w:tc>
          <w:tcPr>
            <w:tcW w:type="dxa" w:w="5040"/>
          </w:tcPr>
          <w:p>
            <w:r>
              <w:t>Содержание</w:t>
            </w:r>
          </w:p>
        </w:tc>
      </w:tr>
      <w:tr>
        <w:tc>
          <w:tcPr>
            <w:tcW w:type="dxa" w:w="5040"/>
          </w:tcPr>
          <w:p>
            <w:r>
              <w:t>Масштаб капитала</w:t>
            </w:r>
          </w:p>
        </w:tc>
        <w:tc>
          <w:tcPr>
            <w:tcW w:type="dxa" w:w="5040"/>
          </w:tcPr>
          <w:p>
            <w:r>
              <w:t>как правило, десятки или сотни миллиардов рублей / миллиарды долларов</w:t>
            </w:r>
          </w:p>
        </w:tc>
      </w:tr>
      <w:tr>
        <w:tc>
          <w:tcPr>
            <w:tcW w:type="dxa" w:w="5040"/>
          </w:tcPr>
          <w:p>
            <w:r>
              <w:t>Горизонт</w:t>
            </w:r>
          </w:p>
        </w:tc>
        <w:tc>
          <w:tcPr>
            <w:tcW w:type="dxa" w:w="5040"/>
          </w:tcPr>
          <w:p>
            <w:r>
              <w:t>10–50 лет, а для инфраструктуры и энергетики — до 80–100 лет</w:t>
            </w:r>
          </w:p>
        </w:tc>
      </w:tr>
      <w:tr>
        <w:tc>
          <w:tcPr>
            <w:tcW w:type="dxa" w:w="5040"/>
          </w:tcPr>
          <w:p>
            <w:r>
              <w:t>Межотраслевая связность</w:t>
            </w:r>
          </w:p>
        </w:tc>
        <w:tc>
          <w:tcPr>
            <w:tcW w:type="dxa" w:w="5040"/>
          </w:tcPr>
          <w:p>
            <w:r>
              <w:t>минимум 4–6 связанных отраслей</w:t>
            </w:r>
          </w:p>
        </w:tc>
      </w:tr>
      <w:tr>
        <w:tc>
          <w:tcPr>
            <w:tcW w:type="dxa" w:w="5040"/>
          </w:tcPr>
          <w:p>
            <w:r>
              <w:t>Технологическое ядро</w:t>
            </w:r>
          </w:p>
        </w:tc>
        <w:tc>
          <w:tcPr>
            <w:tcW w:type="dxa" w:w="5040"/>
          </w:tcPr>
          <w:p>
            <w:r>
              <w:t>собственная инженерная, цифровая или производственная платформа</w:t>
            </w:r>
          </w:p>
        </w:tc>
      </w:tr>
      <w:tr>
        <w:tc>
          <w:tcPr>
            <w:tcW w:type="dxa" w:w="5040"/>
          </w:tcPr>
          <w:p>
            <w:r>
              <w:t>Территориальный эффект</w:t>
            </w:r>
          </w:p>
        </w:tc>
        <w:tc>
          <w:tcPr>
            <w:tcW w:type="dxa" w:w="5040"/>
          </w:tcPr>
          <w:p>
            <w:r>
              <w:t>изменение экономики региона, агломерации или транспортного коридора</w:t>
            </w:r>
          </w:p>
        </w:tc>
      </w:tr>
      <w:tr>
        <w:tc>
          <w:tcPr>
            <w:tcW w:type="dxa" w:w="5040"/>
          </w:tcPr>
          <w:p>
            <w:r>
              <w:t>Мультипликатор</w:t>
            </w:r>
          </w:p>
        </w:tc>
        <w:tc>
          <w:tcPr>
            <w:tcW w:type="dxa" w:w="5040"/>
          </w:tcPr>
          <w:p>
            <w:r>
              <w:t>новые производства, занятость, экспорт, налоговая база и компетенции</w:t>
            </w:r>
          </w:p>
        </w:tc>
      </w:tr>
      <w:tr>
        <w:tc>
          <w:tcPr>
            <w:tcW w:type="dxa" w:w="5040"/>
          </w:tcPr>
          <w:p>
            <w:r>
              <w:t>Институциональная сложность</w:t>
            </w:r>
          </w:p>
        </w:tc>
        <w:tc>
          <w:tcPr>
            <w:tcW w:type="dxa" w:w="5040"/>
          </w:tcPr>
          <w:p>
            <w:r>
              <w:t>государство, банки, промышленные корпорации, институты развития, наука</w:t>
            </w:r>
          </w:p>
        </w:tc>
      </w:tr>
    </w:tbl>
    <w:p>
      <w:pPr>
        <w:pStyle w:val="Heading1"/>
      </w:pPr>
      <w:r>
        <w:t>3. Основные типы мегапроектов</w:t>
      </w:r>
    </w:p>
    <w:p>
      <w:pPr>
        <w:pStyle w:val="ListBullet"/>
      </w:pPr>
      <w:r>
        <w:t>Транспортно-логистические: ВСМ, порты, аэропорты, международные коридоры, мосты, тоннели.</w:t>
      </w:r>
    </w:p>
    <w:p>
      <w:pPr>
        <w:pStyle w:val="ListBullet"/>
      </w:pPr>
      <w:r>
        <w:t>Энергетические: АЭС, ГЭС, СПГ, энергокластеры, сети, накопители, водород.</w:t>
      </w:r>
    </w:p>
    <w:p>
      <w:pPr>
        <w:pStyle w:val="ListBullet"/>
      </w:pPr>
      <w:r>
        <w:t>Промышленные: металлургия, нефтехимия, материалы, микроэлектроника, машиностроение.</w:t>
      </w:r>
    </w:p>
    <w:p>
      <w:pPr>
        <w:pStyle w:val="ListBullet"/>
      </w:pPr>
      <w:r>
        <w:t>Ресурсно-перерабатывающие: месторождение + глубокая переработка + логистика + экспорт.</w:t>
      </w:r>
    </w:p>
    <w:p>
      <w:pPr>
        <w:pStyle w:val="ListBullet"/>
      </w:pPr>
      <w:r>
        <w:t>Городские и агломерационные: новые города, индустриальные зоны, smart-city, кампусы.</w:t>
      </w:r>
    </w:p>
    <w:p>
      <w:pPr>
        <w:pStyle w:val="ListBullet"/>
      </w:pPr>
      <w:r>
        <w:t>Цифровые: ЦОД, облака, AI-вычисления, телеком, спутниковая инфраструктура.</w:t>
      </w:r>
    </w:p>
    <w:p>
      <w:pPr>
        <w:pStyle w:val="ListBullet"/>
      </w:pPr>
      <w:r>
        <w:t>Экологические: вода, отходы, рекультивация, замкнутые производственные циклы.</w:t>
      </w:r>
    </w:p>
    <w:p>
      <w:pPr>
        <w:pStyle w:val="Heading1"/>
      </w:pPr>
      <w:r>
        <w:t>4. Мировые эталоны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16"/>
        <w:gridCol w:w="2016"/>
        <w:gridCol w:w="2016"/>
        <w:gridCol w:w="2016"/>
        <w:gridCol w:w="2016"/>
      </w:tblGrid>
      <w:tr>
        <w:tc>
          <w:tcPr>
            <w:tcW w:type="dxa" w:w="2016"/>
          </w:tcPr>
          <w:p>
            <w:r>
              <w:t>Проект</w:t>
            </w:r>
          </w:p>
        </w:tc>
        <w:tc>
          <w:tcPr>
            <w:tcW w:type="dxa" w:w="2016"/>
          </w:tcPr>
          <w:p>
            <w:r>
              <w:t>Страна</w:t>
            </w:r>
          </w:p>
        </w:tc>
        <w:tc>
          <w:tcPr>
            <w:tcW w:type="dxa" w:w="2016"/>
          </w:tcPr>
          <w:p>
            <w:r>
              <w:t>Масштаб</w:t>
            </w:r>
          </w:p>
        </w:tc>
        <w:tc>
          <w:tcPr>
            <w:tcW w:type="dxa" w:w="2016"/>
          </w:tcPr>
          <w:p>
            <w:r>
              <w:t>Модель</w:t>
            </w:r>
          </w:p>
        </w:tc>
        <w:tc>
          <w:tcPr>
            <w:tcW w:type="dxa" w:w="2016"/>
          </w:tcPr>
          <w:p>
            <w:r>
              <w:t>Главный эффект</w:t>
            </w:r>
          </w:p>
        </w:tc>
      </w:tr>
      <w:tr>
        <w:tc>
          <w:tcPr>
            <w:tcW w:type="dxa" w:w="2016"/>
          </w:tcPr>
          <w:p>
            <w:r>
              <w:t>Высокоскоростные железные дороги Китая</w:t>
            </w:r>
          </w:p>
        </w:tc>
        <w:tc>
          <w:tcPr>
            <w:tcW w:type="dxa" w:w="2016"/>
          </w:tcPr>
          <w:p>
            <w:r>
              <w:t>Китай</w:t>
            </w:r>
          </w:p>
        </w:tc>
        <w:tc>
          <w:tcPr>
            <w:tcW w:type="dxa" w:w="2016"/>
          </w:tcPr>
          <w:p>
            <w:r>
              <w:t>свыше $1 трлн совокупных инвестиций</w:t>
            </w:r>
          </w:p>
        </w:tc>
        <w:tc>
          <w:tcPr>
            <w:tcW w:type="dxa" w:w="2016"/>
          </w:tcPr>
          <w:p>
            <w:r>
              <w:t>государственно-корпоративная модель</w:t>
            </w:r>
          </w:p>
        </w:tc>
        <w:tc>
          <w:tcPr>
            <w:tcW w:type="dxa" w:w="2016"/>
          </w:tcPr>
          <w:p>
            <w:r>
              <w:t>единый внутренний рынок, урбанизация, экспорт технологий</w:t>
            </w:r>
          </w:p>
        </w:tc>
      </w:tr>
      <w:tr>
        <w:tc>
          <w:tcPr>
            <w:tcW w:type="dxa" w:w="2016"/>
          </w:tcPr>
          <w:p>
            <w:r>
              <w:t>Channel Tunnel</w:t>
            </w:r>
          </w:p>
        </w:tc>
        <w:tc>
          <w:tcPr>
            <w:tcW w:type="dxa" w:w="2016"/>
          </w:tcPr>
          <w:p>
            <w:r>
              <w:t>Великобритания–Франция</w:t>
            </w:r>
          </w:p>
        </w:tc>
        <w:tc>
          <w:tcPr>
            <w:tcW w:type="dxa" w:w="2016"/>
          </w:tcPr>
          <w:p>
            <w:r>
              <w:t>десятки млрд долл. с учетом финансирования</w:t>
            </w:r>
          </w:p>
        </w:tc>
        <w:tc>
          <w:tcPr>
            <w:tcW w:type="dxa" w:w="2016"/>
          </w:tcPr>
          <w:p>
            <w:r>
              <w:t>трансграничная концессия</w:t>
            </w:r>
          </w:p>
        </w:tc>
        <w:tc>
          <w:tcPr>
            <w:tcW w:type="dxa" w:w="2016"/>
          </w:tcPr>
          <w:p>
            <w:r>
              <w:t>инженерный успех при сложной долговой модели</w:t>
            </w:r>
          </w:p>
        </w:tc>
      </w:tr>
      <w:tr>
        <w:tc>
          <w:tcPr>
            <w:tcW w:type="dxa" w:w="2016"/>
          </w:tcPr>
          <w:p>
            <w:r>
              <w:t>NEOM</w:t>
            </w:r>
          </w:p>
        </w:tc>
        <w:tc>
          <w:tcPr>
            <w:tcW w:type="dxa" w:w="2016"/>
          </w:tcPr>
          <w:p>
            <w:r>
              <w:t>Саудовская Аравия</w:t>
            </w:r>
          </w:p>
        </w:tc>
        <w:tc>
          <w:tcPr>
            <w:tcW w:type="dxa" w:w="2016"/>
          </w:tcPr>
          <w:p>
            <w:r>
              <w:t>заявленный масштаб &gt; $500 млрд</w:t>
            </w:r>
          </w:p>
        </w:tc>
        <w:tc>
          <w:tcPr>
            <w:tcW w:type="dxa" w:w="2016"/>
          </w:tcPr>
          <w:p>
            <w:r>
              <w:t>суверенный фонд + частный капитал</w:t>
            </w:r>
          </w:p>
        </w:tc>
        <w:tc>
          <w:tcPr>
            <w:tcW w:type="dxa" w:w="2016"/>
          </w:tcPr>
          <w:p>
            <w:r>
              <w:t>город, энергетика, AI, логистика</w:t>
            </w:r>
          </w:p>
        </w:tc>
      </w:tr>
      <w:tr>
        <w:tc>
          <w:tcPr>
            <w:tcW w:type="dxa" w:w="2016"/>
          </w:tcPr>
          <w:p>
            <w:r>
              <w:t>Akkuyu NPP</w:t>
            </w:r>
          </w:p>
        </w:tc>
        <w:tc>
          <w:tcPr>
            <w:tcW w:type="dxa" w:w="2016"/>
          </w:tcPr>
          <w:p>
            <w:r>
              <w:t>Турция</w:t>
            </w:r>
          </w:p>
        </w:tc>
        <w:tc>
          <w:tcPr>
            <w:tcW w:type="dxa" w:w="2016"/>
          </w:tcPr>
          <w:p>
            <w:r>
              <w:t>около $20–25 млрд</w:t>
            </w:r>
          </w:p>
        </w:tc>
        <w:tc>
          <w:tcPr>
            <w:tcW w:type="dxa" w:w="2016"/>
          </w:tcPr>
          <w:p>
            <w:r>
              <w:t>BOO</w:t>
            </w:r>
          </w:p>
        </w:tc>
        <w:tc>
          <w:tcPr>
            <w:tcW w:type="dxa" w:w="2016"/>
          </w:tcPr>
          <w:p>
            <w:r>
              <w:t>энергетика + долгосрочная технологическая связка</w:t>
            </w:r>
          </w:p>
        </w:tc>
      </w:tr>
      <w:tr>
        <w:tc>
          <w:tcPr>
            <w:tcW w:type="dxa" w:w="2016"/>
          </w:tcPr>
          <w:p>
            <w:r>
              <w:t>Istanbul Airport</w:t>
            </w:r>
          </w:p>
        </w:tc>
        <w:tc>
          <w:tcPr>
            <w:tcW w:type="dxa" w:w="2016"/>
          </w:tcPr>
          <w:p>
            <w:r>
              <w:t>Турция</w:t>
            </w:r>
          </w:p>
        </w:tc>
        <w:tc>
          <w:tcPr>
            <w:tcW w:type="dxa" w:w="2016"/>
          </w:tcPr>
          <w:p>
            <w:r>
              <w:t>около $10–12 млрд</w:t>
            </w:r>
          </w:p>
        </w:tc>
        <w:tc>
          <w:tcPr>
            <w:tcW w:type="dxa" w:w="2016"/>
          </w:tcPr>
          <w:p>
            <w:r>
              <w:t>концессионная модель</w:t>
            </w:r>
          </w:p>
        </w:tc>
        <w:tc>
          <w:tcPr>
            <w:tcW w:type="dxa" w:w="2016"/>
          </w:tcPr>
          <w:p>
            <w:r>
              <w:t>глобальный авиационный хаб</w:t>
            </w:r>
          </w:p>
        </w:tc>
      </w:tr>
      <w:tr>
        <w:tc>
          <w:tcPr>
            <w:tcW w:type="dxa" w:w="2016"/>
          </w:tcPr>
          <w:p>
            <w:r>
              <w:t>Noor Ouarzazate</w:t>
            </w:r>
          </w:p>
        </w:tc>
        <w:tc>
          <w:tcPr>
            <w:tcW w:type="dxa" w:w="2016"/>
          </w:tcPr>
          <w:p>
            <w:r>
              <w:t>Марокко</w:t>
            </w:r>
          </w:p>
        </w:tc>
        <w:tc>
          <w:tcPr>
            <w:tcW w:type="dxa" w:w="2016"/>
          </w:tcPr>
          <w:p>
            <w:r>
              <w:t>около $2,5 млрд</w:t>
            </w:r>
          </w:p>
        </w:tc>
        <w:tc>
          <w:tcPr>
            <w:tcW w:type="dxa" w:w="2016"/>
          </w:tcPr>
          <w:p>
            <w:r>
              <w:t>PPP + МФО</w:t>
            </w:r>
          </w:p>
        </w:tc>
        <w:tc>
          <w:tcPr>
            <w:tcW w:type="dxa" w:w="2016"/>
          </w:tcPr>
          <w:p>
            <w:r>
              <w:t>возобновляемая энергетика</w:t>
            </w:r>
          </w:p>
        </w:tc>
      </w:tr>
      <w:tr>
        <w:tc>
          <w:tcPr>
            <w:tcW w:type="dxa" w:w="2016"/>
          </w:tcPr>
          <w:p>
            <w:r>
              <w:t>Port of Piraeus</w:t>
            </w:r>
          </w:p>
        </w:tc>
        <w:tc>
          <w:tcPr>
            <w:tcW w:type="dxa" w:w="2016"/>
          </w:tcPr>
          <w:p>
            <w:r>
              <w:t>Греция</w:t>
            </w:r>
          </w:p>
        </w:tc>
        <w:tc>
          <w:tcPr>
            <w:tcW w:type="dxa" w:w="2016"/>
          </w:tcPr>
          <w:p>
            <w:r>
              <w:t>инвестиции и покупка долей на миллиарды евро</w:t>
            </w:r>
          </w:p>
        </w:tc>
        <w:tc>
          <w:tcPr>
            <w:tcW w:type="dxa" w:w="2016"/>
          </w:tcPr>
          <w:p>
            <w:r>
              <w:t>портовая концессия/корпоративное управление</w:t>
            </w:r>
          </w:p>
        </w:tc>
        <w:tc>
          <w:tcPr>
            <w:tcW w:type="dxa" w:w="2016"/>
          </w:tcPr>
          <w:p>
            <w:r>
              <w:t>логистический вход в ЕС</w:t>
            </w:r>
          </w:p>
        </w:tc>
      </w:tr>
    </w:tbl>
    <w:p>
      <w:pPr>
        <w:pStyle w:val="Heading1"/>
      </w:pPr>
      <w:r>
        <w:t>5. Финансовая архитектура</w:t>
      </w:r>
    </w:p>
    <w:p>
      <w:pPr>
        <w:pStyle w:val="ListBullet"/>
      </w:pPr>
      <w:r>
        <w:t>Собственный капитал инициатора и стратегических инвесторов.</w:t>
      </w:r>
    </w:p>
    <w:p>
      <w:pPr>
        <w:pStyle w:val="ListBullet"/>
      </w:pPr>
      <w:r>
        <w:t>Проектное финансирование банковского синдиката.</w:t>
      </w:r>
    </w:p>
    <w:p>
      <w:pPr>
        <w:pStyle w:val="ListBullet"/>
      </w:pPr>
      <w:r>
        <w:t>Государственные гарантии, капитальные гранты и availability payments.</w:t>
      </w:r>
    </w:p>
    <w:p>
      <w:pPr>
        <w:pStyle w:val="ListBullet"/>
      </w:pPr>
      <w:r>
        <w:t>Концессионные платежи и тарифная выручка.</w:t>
      </w:r>
    </w:p>
    <w:p>
      <w:pPr>
        <w:pStyle w:val="ListBullet"/>
      </w:pPr>
      <w:r>
        <w:t>Инфраструктурные облигации и ЦФА.</w:t>
      </w:r>
    </w:p>
    <w:p>
      <w:pPr>
        <w:pStyle w:val="ListBullet"/>
      </w:pPr>
      <w:r>
        <w:t>Средства пенсионных, страховых и суверенных фондов.</w:t>
      </w:r>
    </w:p>
    <w:p>
      <w:pPr>
        <w:pStyle w:val="ListBullet"/>
      </w:pPr>
      <w:r>
        <w:t>Экспортное кредитование и агентства страхования экспортных рисков.</w:t>
      </w:r>
    </w:p>
    <w:p>
      <w:pPr>
        <w:pStyle w:val="ListBullet"/>
      </w:pPr>
      <w:r>
        <w:t>Международные финансовые организации для трансграничных проектов.</w:t>
      </w:r>
    </w:p>
    <w:p>
      <w:pPr>
        <w:pStyle w:val="Heading1"/>
      </w:pPr>
      <w:r>
        <w:t>6. Жизненный цикл мегапроекта</w:t>
      </w:r>
    </w:p>
    <w:p>
      <w:pPr>
        <w:pStyle w:val="ListNumber"/>
      </w:pPr>
      <w:r>
        <w:t>0. Стратегическая гипотеза и национальный/региональный приоритет.</w:t>
      </w:r>
    </w:p>
    <w:p>
      <w:pPr>
        <w:pStyle w:val="ListNumber"/>
      </w:pPr>
      <w:r>
        <w:t>1. ПредТЭО: спрос, территория, ресурсы, технологии, ограничения.</w:t>
      </w:r>
    </w:p>
    <w:p>
      <w:pPr>
        <w:pStyle w:val="ListNumber"/>
      </w:pPr>
      <w:r>
        <w:t>2. Формирование проектного консорциума.</w:t>
      </w:r>
    </w:p>
    <w:p>
      <w:pPr>
        <w:pStyle w:val="ListNumber"/>
      </w:pPr>
      <w:r>
        <w:t>3. ТЭО и финансовая модель.</w:t>
      </w:r>
    </w:p>
    <w:p>
      <w:pPr>
        <w:pStyle w:val="ListNumber"/>
      </w:pPr>
      <w:r>
        <w:t>4. Земля, разрешения, концессия/ГЧП/СПИК/СЗПК или иная правовая модель.</w:t>
      </w:r>
    </w:p>
    <w:p>
      <w:pPr>
        <w:pStyle w:val="ListNumber"/>
      </w:pPr>
      <w:r>
        <w:t>5. Финансовое закрытие.</w:t>
      </w:r>
    </w:p>
    <w:p>
      <w:pPr>
        <w:pStyle w:val="ListNumber"/>
      </w:pPr>
      <w:r>
        <w:t>6. Проектирование и локализация цепочки поставок.</w:t>
      </w:r>
    </w:p>
    <w:p>
      <w:pPr>
        <w:pStyle w:val="ListNumber"/>
      </w:pPr>
      <w:r>
        <w:t>7. Строительство и ввод по очередям.</w:t>
      </w:r>
    </w:p>
    <w:p>
      <w:pPr>
        <w:pStyle w:val="ListNumber"/>
      </w:pPr>
      <w:r>
        <w:t>8. Эксплуатация с цифровым мониторингом KPI.</w:t>
      </w:r>
    </w:p>
    <w:p>
      <w:pPr>
        <w:pStyle w:val="ListNumber"/>
      </w:pPr>
      <w:r>
        <w:t>9. Расширение, технологическое обновление и экспорт модели.</w:t>
      </w:r>
    </w:p>
    <w:p>
      <w:pPr>
        <w:pStyle w:val="Heading1"/>
      </w:pPr>
      <w:r>
        <w:t>7. Основные причины провала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t>Риск</w:t>
            </w:r>
          </w:p>
        </w:tc>
        <w:tc>
          <w:tcPr>
            <w:tcW w:type="dxa" w:w="5040"/>
          </w:tcPr>
          <w:p>
            <w:r>
              <w:t>Проявление</w:t>
            </w:r>
          </w:p>
        </w:tc>
      </w:tr>
      <w:tr>
        <w:tc>
          <w:tcPr>
            <w:tcW w:type="dxa" w:w="5040"/>
          </w:tcPr>
          <w:p>
            <w:r>
              <w:t>Завышенный спрос</w:t>
            </w:r>
          </w:p>
        </w:tc>
        <w:tc>
          <w:tcPr>
            <w:tcW w:type="dxa" w:w="5040"/>
          </w:tcPr>
          <w:p>
            <w:r>
              <w:t>ошибочный трафик, грузопоток, потребление или экспорт</w:t>
            </w:r>
          </w:p>
        </w:tc>
      </w:tr>
      <w:tr>
        <w:tc>
          <w:tcPr>
            <w:tcW w:type="dxa" w:w="5040"/>
          </w:tcPr>
          <w:p>
            <w:r>
              <w:t>Недооценка CAPEX</w:t>
            </w:r>
          </w:p>
        </w:tc>
        <w:tc>
          <w:tcPr>
            <w:tcW w:type="dxa" w:w="5040"/>
          </w:tcPr>
          <w:p>
            <w:r>
              <w:t>инфляция, геология, импортные компоненты, изменение проекта</w:t>
            </w:r>
          </w:p>
        </w:tc>
      </w:tr>
      <w:tr>
        <w:tc>
          <w:tcPr>
            <w:tcW w:type="dxa" w:w="5040"/>
          </w:tcPr>
          <w:p>
            <w:r>
              <w:t>Дорогой долг</w:t>
            </w:r>
          </w:p>
        </w:tc>
        <w:tc>
          <w:tcPr>
            <w:tcW w:type="dxa" w:w="5040"/>
          </w:tcPr>
          <w:p>
            <w:r>
              <w:t>рост ставок уничтожает экономику длинного проекта</w:t>
            </w:r>
          </w:p>
        </w:tc>
      </w:tr>
      <w:tr>
        <w:tc>
          <w:tcPr>
            <w:tcW w:type="dxa" w:w="5040"/>
          </w:tcPr>
          <w:p>
            <w:r>
              <w:t>Слабое управление</w:t>
            </w:r>
          </w:p>
        </w:tc>
        <w:tc>
          <w:tcPr>
            <w:tcW w:type="dxa" w:w="5040"/>
          </w:tcPr>
          <w:p>
            <w:r>
              <w:t>размытая ответственность между заказчиком, концессионером и подрядчиками</w:t>
            </w:r>
          </w:p>
        </w:tc>
      </w:tr>
      <w:tr>
        <w:tc>
          <w:tcPr>
            <w:tcW w:type="dxa" w:w="5040"/>
          </w:tcPr>
          <w:p>
            <w:r>
              <w:t>Политический цикл</w:t>
            </w:r>
          </w:p>
        </w:tc>
        <w:tc>
          <w:tcPr>
            <w:tcW w:type="dxa" w:w="5040"/>
          </w:tcPr>
          <w:p>
            <w:r>
              <w:t>смена приоритетов, отмена или пересмотр проекта</w:t>
            </w:r>
          </w:p>
        </w:tc>
      </w:tr>
      <w:tr>
        <w:tc>
          <w:tcPr>
            <w:tcW w:type="dxa" w:w="5040"/>
          </w:tcPr>
          <w:p>
            <w:r>
              <w:t>Технологическая зависимость</w:t>
            </w:r>
          </w:p>
        </w:tc>
        <w:tc>
          <w:tcPr>
            <w:tcW w:type="dxa" w:w="5040"/>
          </w:tcPr>
          <w:p>
            <w:r>
              <w:t>критическое оборудование и ПО из внешнего контура</w:t>
            </w:r>
          </w:p>
        </w:tc>
      </w:tr>
      <w:tr>
        <w:tc>
          <w:tcPr>
            <w:tcW w:type="dxa" w:w="5040"/>
          </w:tcPr>
          <w:p>
            <w:r>
              <w:t>Отсутствие жизненного цикла</w:t>
            </w:r>
          </w:p>
        </w:tc>
        <w:tc>
          <w:tcPr>
            <w:tcW w:type="dxa" w:w="5040"/>
          </w:tcPr>
          <w:p>
            <w:r>
              <w:t>есть стройка, но нет экономики эксплуатации и обновления</w:t>
            </w:r>
          </w:p>
        </w:tc>
      </w:tr>
    </w:tbl>
    <w:p>
      <w:pPr>
        <w:pStyle w:val="Heading1"/>
      </w:pPr>
      <w:r>
        <w:t>8. Российская модель индустриальных мегапроектов</w:t>
      </w:r>
    </w:p>
    <w:p>
      <w:r>
        <w:t>Для России наиболее перспективна не модель одиночных объектов, а модель индустриальных контуров: ресурс → энергия → материал → компонент → изделие → логистика → внутренний рынок → экспорт.</w:t>
      </w:r>
    </w:p>
    <w:p>
      <w:pPr>
        <w:pStyle w:val="ListBullet"/>
      </w:pPr>
      <w:r>
        <w:t>Арктический промышленно-логистический контур.</w:t>
      </w:r>
    </w:p>
    <w:p>
      <w:pPr>
        <w:pStyle w:val="ListBullet"/>
      </w:pPr>
      <w:r>
        <w:t>Новый автопром и транспортное машиностроение.</w:t>
      </w:r>
    </w:p>
    <w:p>
      <w:pPr>
        <w:pStyle w:val="ListBullet"/>
      </w:pPr>
      <w:r>
        <w:t>Глубокая переработка сырья и материалы высокой чистоты.</w:t>
      </w:r>
    </w:p>
    <w:p>
      <w:pPr>
        <w:pStyle w:val="ListBullet"/>
      </w:pPr>
      <w:r>
        <w:t>Новая энергетика и распределенная генерация.</w:t>
      </w:r>
    </w:p>
    <w:p>
      <w:pPr>
        <w:pStyle w:val="ListBullet"/>
      </w:pPr>
      <w:r>
        <w:t>Микроэлектроника, силовая электроника и промышленный AI.</w:t>
      </w:r>
    </w:p>
    <w:p>
      <w:pPr>
        <w:pStyle w:val="ListBullet"/>
      </w:pPr>
      <w:r>
        <w:t>Водная и экологическая инфраструктура.</w:t>
      </w:r>
    </w:p>
    <w:p>
      <w:pPr>
        <w:pStyle w:val="ListBullet"/>
      </w:pPr>
      <w:r>
        <w:t>Международный транспортный коридор Север–Юг.</w:t>
      </w:r>
    </w:p>
    <w:p>
      <w:pPr>
        <w:pStyle w:val="ListBullet"/>
      </w:pPr>
      <w:r>
        <w:t>Новые индустриальные города и производственные агломерации.</w:t>
      </w:r>
    </w:p>
    <w:p>
      <w:pPr>
        <w:pStyle w:val="Heading1"/>
      </w:pPr>
      <w:r>
        <w:t>9. Предлагаемая система управления</w:t>
      </w:r>
    </w:p>
    <w:p>
      <w:r>
        <w:t>Для портфеля мегапроектов необходим единый Информационно-аналитический центр, который работает не как реестр строек, а как система отбора, структурирования, финансирования и контроля полного жизненного цикла.</w:t>
      </w:r>
    </w:p>
    <w:p>
      <w:pPr>
        <w:pStyle w:val="ListBullet"/>
      </w:pPr>
      <w:r>
        <w:t>Единый паспорт каждого мегапроекта.</w:t>
      </w:r>
    </w:p>
    <w:p>
      <w:pPr>
        <w:pStyle w:val="ListBullet"/>
      </w:pPr>
      <w:r>
        <w:t>Матрица отраслей, территорий, технологий и участников.</w:t>
      </w:r>
    </w:p>
    <w:p>
      <w:pPr>
        <w:pStyle w:val="ListBullet"/>
      </w:pPr>
      <w:r>
        <w:t>Рейтинг экономической, технологической и социальной значимости.</w:t>
      </w:r>
    </w:p>
    <w:p>
      <w:pPr>
        <w:pStyle w:val="ListBullet"/>
      </w:pPr>
      <w:r>
        <w:t>Цифровой двойник CAPEX/OPEX, сроков и критического пути.</w:t>
      </w:r>
    </w:p>
    <w:p>
      <w:pPr>
        <w:pStyle w:val="ListBullet"/>
      </w:pPr>
      <w:r>
        <w:t>Мониторинг государственных обязательств и долговой нагрузки.</w:t>
      </w:r>
    </w:p>
    <w:p>
      <w:pPr>
        <w:pStyle w:val="ListBullet"/>
      </w:pPr>
      <w:r>
        <w:t>Реестр поставщиков и локализации.</w:t>
      </w:r>
    </w:p>
    <w:p>
      <w:pPr>
        <w:pStyle w:val="ListBullet"/>
      </w:pPr>
      <w:r>
        <w:t>Система раннего предупреждения по стоимости, срокам и спросу.</w:t>
      </w:r>
    </w:p>
    <w:p>
      <w:pPr>
        <w:pStyle w:val="ListBullet"/>
      </w:pPr>
      <w:r>
        <w:t>Публичный и закрытый контуры отчетности.</w:t>
      </w:r>
    </w:p>
    <w:p>
      <w:pPr>
        <w:pStyle w:val="Heading1"/>
      </w:pPr>
      <w:r>
        <w:t>10. Паспорт индустриального мегапроекта</w:t>
      </w:r>
    </w:p>
    <w:p>
      <w:pPr>
        <w:pStyle w:val="ListBullet"/>
      </w:pPr>
      <w:r>
        <w:t>Название и территория</w:t>
      </w:r>
    </w:p>
    <w:p>
      <w:pPr>
        <w:pStyle w:val="ListBullet"/>
      </w:pPr>
      <w:r>
        <w:t>Стратегическая цель</w:t>
      </w:r>
    </w:p>
    <w:p>
      <w:pPr>
        <w:pStyle w:val="ListBullet"/>
      </w:pPr>
      <w:r>
        <w:t>Инициатор и публичный партнер</w:t>
      </w:r>
    </w:p>
    <w:p>
      <w:pPr>
        <w:pStyle w:val="ListBullet"/>
      </w:pPr>
      <w:r>
        <w:t>Концессионер / SPV / индустриальный оператор</w:t>
      </w:r>
    </w:p>
    <w:p>
      <w:pPr>
        <w:pStyle w:val="ListBullet"/>
      </w:pPr>
      <w:r>
        <w:t>CAPEX и OPEX</w:t>
      </w:r>
    </w:p>
    <w:p>
      <w:pPr>
        <w:pStyle w:val="ListBullet"/>
      </w:pPr>
      <w:r>
        <w:t>Источники финансирования</w:t>
      </w:r>
    </w:p>
    <w:p>
      <w:pPr>
        <w:pStyle w:val="ListBullet"/>
      </w:pPr>
      <w:r>
        <w:t>Срок строительства и эксплуатации</w:t>
      </w:r>
    </w:p>
    <w:p>
      <w:pPr>
        <w:pStyle w:val="ListBullet"/>
      </w:pPr>
      <w:r>
        <w:t>Технологическое ядро</w:t>
      </w:r>
    </w:p>
    <w:p>
      <w:pPr>
        <w:pStyle w:val="ListBullet"/>
      </w:pPr>
      <w:r>
        <w:t>Ключевые поставщики</w:t>
      </w:r>
    </w:p>
    <w:p>
      <w:pPr>
        <w:pStyle w:val="ListBullet"/>
      </w:pPr>
      <w:r>
        <w:t>Локализация</w:t>
      </w:r>
    </w:p>
    <w:p>
      <w:pPr>
        <w:pStyle w:val="ListBullet"/>
      </w:pPr>
      <w:r>
        <w:t>Плановая мощность</w:t>
      </w:r>
    </w:p>
    <w:p>
      <w:pPr>
        <w:pStyle w:val="ListBullet"/>
      </w:pPr>
      <w:r>
        <w:t>Спрос и оффтейк</w:t>
      </w:r>
    </w:p>
    <w:p>
      <w:pPr>
        <w:pStyle w:val="ListBullet"/>
      </w:pPr>
      <w:r>
        <w:t>Экспортный потенциал</w:t>
      </w:r>
    </w:p>
    <w:p>
      <w:pPr>
        <w:pStyle w:val="ListBullet"/>
      </w:pPr>
      <w:r>
        <w:t>KPI</w:t>
      </w:r>
    </w:p>
    <w:p>
      <w:pPr>
        <w:pStyle w:val="ListBullet"/>
      </w:pPr>
      <w:r>
        <w:t>Риски</w:t>
      </w:r>
    </w:p>
    <w:p>
      <w:pPr>
        <w:pStyle w:val="ListBullet"/>
      </w:pPr>
      <w:r>
        <w:t>Социально-экономический эффект</w:t>
      </w:r>
    </w:p>
    <w:p>
      <w:pPr>
        <w:pStyle w:val="ListBullet"/>
      </w:pPr>
      <w:r>
        <w:t>Экологический эффект</w:t>
      </w:r>
    </w:p>
    <w:p>
      <w:pPr>
        <w:pStyle w:val="ListBullet"/>
      </w:pPr>
      <w:r>
        <w:t>Сценарии выхода / передачи / продления</w:t>
      </w:r>
    </w:p>
    <w:p>
      <w:pPr>
        <w:pStyle w:val="Heading1"/>
      </w:pPr>
      <w:r>
        <w:t>11. Вывод</w:t>
      </w:r>
    </w:p>
    <w:p>
      <w:r>
        <w:t>Индустриальный мегапроект должен рассматриваться как новая единица стратегического развития. Его конечный продукт — не объект, а сформированная экономическая система. Лучшие мировые примеры показывают, что успех определяется не величиной бюджета, а качеством архитектуры: реальным спросом, длинным капиталом, ответственным распределением рисков, технологической платформой и управлением полным жизненным циклом.</w:t>
      </w:r>
    </w:p>
    <w:p>
      <w:r>
        <w:t>Для России портфель индустриальных мегапроектов может стать практическим механизмом новой индустриализации, пространственного развития и технологического суверенитета.</w:t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