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jc w:val="center"/>
      </w:pPr>
      <w:r>
        <w:t>ФГБУН ИНСТИТУТ МАШИНОВЕДЕНИЯ ИМ. А. А. БЛАГОНРАВОВА РАН</w:t>
      </w:r>
    </w:p>
    <w:p>
      <w:pPr>
        <w:spacing w:before="80" w:after="140"/>
        <w:jc w:val="center"/>
      </w:pPr>
      <w:r>
        <w:rPr>
          <w:rFonts w:ascii="Aptos Display" w:hAnsi="Aptos Display"/>
          <w:b/>
          <w:color w:val="17365D"/>
          <w:sz w:val="48"/>
        </w:rPr>
        <w:t>СТРАТЕГИЧЕСКАЯ</w:t>
        <w:br/>
        <w:t>КОНЦЕПЦИЯ РАЗВИТИЯ</w:t>
      </w:r>
    </w:p>
    <w:p>
      <w:pPr>
        <w:jc w:val="center"/>
      </w:pPr>
      <w:r>
        <w:rPr>
          <w:b/>
          <w:color w:val="B58A32"/>
          <w:sz w:val="38"/>
        </w:rPr>
        <w:t>2026–2035</w:t>
      </w:r>
    </w:p>
    <w:p>
      <w:pPr>
        <w:pStyle w:val="Lead"/>
        <w:jc w:val="center"/>
      </w:pPr>
      <w:r>
        <w:t>«Машиноведение как ядро инженерной науки, валидации и системного развития»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74720" cy="44560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sh_cover_crop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4456042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8"/>
        <w:gridCol w:w="9648"/>
      </w:tblGrid>
      <w:tr>
        <w:tc>
          <w:tcPr>
            <w:tcW w:type="dxa" w:w="5112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F3E8CC"/>
                <w:sz w:val="4"/>
              </w:rPr>
            </w:r>
          </w:p>
        </w:tc>
        <w:tc>
          <w:tcPr>
            <w:tcW w:type="dxa" w:w="5112"/>
            <w:shd w:fill="F3E8CC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  <w:r>
              <w:rPr>
                <w:b/>
                <w:color w:val="B58A32"/>
                <w:sz w:val="22"/>
              </w:rPr>
              <w:t>Ключевая идея</w:t>
              <w:br/>
            </w:r>
            <w:r>
              <w:rPr>
                <w:color w:val="202124"/>
                <w:sz w:val="20"/>
              </w:rPr>
              <w:t>ИМАШ РАН может стать не только исследовательским институтом в традиционном смысле, а национальным системным центром инженерной достоверности: от фундаментальной механики и машиноведения — к цифровым двойникам, испытаниям, стандартам, робототехнике, новым материалам и межотраслевым технологическим платформам.</w:t>
            </w:r>
          </w:p>
        </w:tc>
      </w:tr>
    </w:tbl>
    <w:p>
      <w:pPr>
        <w:spacing w:after="0"/>
      </w:pPr>
    </w:p>
    <w:p>
      <w:pPr>
        <w:jc w:val="center"/>
      </w:pPr>
      <w:r>
        <w:rPr>
          <w:color w:val="5B6573"/>
          <w:sz w:val="18"/>
        </w:rPr>
        <w:t>Москва · 2026</w:t>
      </w:r>
    </w:p>
    <w:p>
      <w:pPr>
        <w:pageBreakBefore/>
        <w:spacing w:after="0"/>
      </w:pPr>
    </w:p>
    <w:p>
      <w:pPr>
        <w:pStyle w:val="Kicker"/>
      </w:pPr>
      <w:r>
        <w:t>01 / СТРАТЕГИЧЕСКАЯ РАМКА</w:t>
      </w:r>
    </w:p>
    <w:p>
      <w:pPr>
        <w:pStyle w:val="Heading1"/>
      </w:pPr>
      <w:r>
        <w:t>Резюме концепции</w:t>
      </w:r>
    </w:p>
    <w:p>
      <w:pPr>
        <w:pStyle w:val="Lead"/>
      </w:pPr>
      <w:r>
        <w:t>Новая роль ИМАШ РАН — соединить фундаментальную механику, инженерную науку, вычислительное моделирование, эксперимент, стандартизацию и промышленное внедрение в единую проверяемую цепочку создания технологий.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3"/>
              </w:rPr>
              <w:t>ОТ ИССЛЕДОВАНИЯ → К ДОКАЗАННОЙ ТЕХНОЛОГИИ → К МАСШТАБИРОВАНИЮ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8"/>
        <w:gridCol w:w="9648"/>
      </w:tblGrid>
      <w:tr>
        <w:tc>
          <w:tcPr>
            <w:tcW w:type="dxa" w:w="5112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F4F7FA"/>
                <w:sz w:val="4"/>
              </w:rPr>
            </w:r>
          </w:p>
        </w:tc>
        <w:tc>
          <w:tcPr>
            <w:tcW w:type="dxa" w:w="5112"/>
            <w:shd w:fill="F4F7FA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  <w:r>
              <w:rPr>
                <w:b/>
                <w:color w:val="2F5597"/>
                <w:sz w:val="22"/>
              </w:rPr>
              <w:t>Стратегический тезис</w:t>
              <w:br/>
            </w:r>
            <w:r>
              <w:rPr>
                <w:color w:val="202124"/>
                <w:sz w:val="20"/>
              </w:rPr>
              <w:t>России нужен инженерный институт, который отвечает не только на вопрос «можно ли это рассчитать?», но и на вопросы «работает ли это в реальной системе?», «каков ресурс?», «каковы риски?», «какие стандарты нужны?», «как масштабировать решение между отраслями?». ИМАШ РАН естественно подходит на роль такого интегратора.</w:t>
            </w:r>
          </w:p>
        </w:tc>
      </w:tr>
    </w:tbl>
    <w:p>
      <w:pPr>
        <w:spacing w:after="0"/>
      </w:pPr>
    </w:p>
    <w:p>
      <w:pPr>
        <w:pStyle w:val="Heading2"/>
      </w:pPr>
      <w:r>
        <w:t>Цель 2035</w:t>
      </w:r>
    </w:p>
    <w:p>
      <w:pPr>
        <w:pStyle w:val="ListBullet"/>
        <w:spacing w:after="60"/>
        <w:ind w:left="230" w:hanging="173"/>
      </w:pPr>
      <w:r>
        <w:rPr>
          <w:sz w:val="20"/>
        </w:rPr>
        <w:t>Сформировать на базе ИМАШ РАН национальный научно-инженерный центр полного цикла: модель → эксперимент → валидация → цифровой двойник → стандарт → опытный образец → промышленная кооперация.</w:t>
      </w:r>
    </w:p>
    <w:p>
      <w:pPr>
        <w:pStyle w:val="ListBullet"/>
        <w:spacing w:after="60"/>
        <w:ind w:left="230" w:hanging="173"/>
      </w:pPr>
      <w:r>
        <w:rPr>
          <w:sz w:val="20"/>
        </w:rPr>
        <w:t>Сделать машиноведение горизонтальной наукой для транспорта, энергетики, промышленности, робототехники, строительства, природоподобных систем, космоса и инфраструктуры.</w:t>
      </w:r>
    </w:p>
    <w:p>
      <w:pPr>
        <w:pStyle w:val="ListBullet"/>
        <w:spacing w:after="60"/>
        <w:ind w:left="230" w:hanging="173"/>
      </w:pPr>
      <w:r>
        <w:rPr>
          <w:sz w:val="20"/>
        </w:rPr>
        <w:t>Создать единый цифровой контур инженерных моделей, данных, испытаний, материалов, отказов, ресурсов и технологических решений.</w:t>
      </w:r>
    </w:p>
    <w:p>
      <w:pPr>
        <w:pStyle w:val="ListBullet"/>
        <w:spacing w:after="60"/>
        <w:ind w:left="230" w:hanging="173"/>
      </w:pPr>
      <w:r>
        <w:rPr>
          <w:sz w:val="20"/>
        </w:rPr>
        <w:t>Обеспечить преемственность научных школ и одновременно перейти к проектной модели крупных междисциплинарных программ.</w:t>
      </w:r>
    </w:p>
    <w:p>
      <w:pPr>
        <w:pStyle w:val="Heading2"/>
      </w:pPr>
      <w:r>
        <w:t>Предлагаемый статус в SUR</w:t>
      </w:r>
    </w:p>
    <w:p>
      <w:r>
        <w:rPr>
          <w:b/>
        </w:rPr>
        <w:t>SUR</w:t>
      </w:r>
      <w:r>
        <w:t xml:space="preserve"> в данной концепции понимается как система управления развитием. В ней ИМАШ РАН выступает как </w:t>
      </w:r>
      <w:r>
        <w:rPr>
          <w:b/>
          <w:color w:val="2F5597"/>
        </w:rPr>
        <w:t>инженерно-научный валидатор</w:t>
      </w:r>
      <w:r>
        <w:t xml:space="preserve"> — независимый центр, связывающий фундаментальную науку, отраслевые задачи, данные, стандарты, технологии и жизненный цикл машин.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Контур</w:t>
            </w:r>
          </w:p>
        </w:tc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Роль</w:t>
            </w:r>
          </w:p>
        </w:tc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Результат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4"/>
              </w:rPr>
              <w:t>1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21"/>
              </w:rPr>
              <w:t>Наука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Фундаментальные закономерности механики, машин, волн, трения, разрушения, динамики, надежности.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4"/>
              </w:rPr>
              <w:t>2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21"/>
              </w:rPr>
              <w:t>Вычисление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Мультфизические модели, цифровые двойники, метакомпьютинг, инженерный ИИ.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4"/>
              </w:rPr>
              <w:t>3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21"/>
              </w:rPr>
              <w:t>Валидация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Испытания, метрология, верификация моделей, ресурс, безопасность, технологическая готовность.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4"/>
              </w:rPr>
              <w:t>4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21"/>
              </w:rPr>
              <w:t>Интеграция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Межотраслевая кооперация, пилоты, стандарты, промышленный трансфер и тиражирование.</w:t>
            </w:r>
          </w:p>
        </w:tc>
      </w:tr>
    </w:tbl>
    <w:p>
      <w:pPr>
        <w:pageBreakBefore/>
        <w:spacing w:after="0"/>
      </w:pPr>
    </w:p>
    <w:p>
      <w:pPr>
        <w:pStyle w:val="Kicker"/>
      </w:pPr>
      <w:r>
        <w:t>02 / ИДЕНТИЧНОСТЬ И МИССИЯ</w:t>
      </w:r>
    </w:p>
    <w:p>
      <w:pPr>
        <w:pStyle w:val="Heading1"/>
      </w:pPr>
      <w:r>
        <w:t>ИМАШ РАН как национальная школа машиноведения</w:t>
      </w:r>
    </w:p>
    <w:p>
      <w:pPr>
        <w:pStyle w:val="Lead"/>
      </w:pPr>
      <w:r>
        <w:t>Машина сегодня — это уже не только механизм. Это киберфизическая система, материал, программное управление, сенсорика, энергетика, взаимодействие с человеком и средой, данные о состоянии и модель полного жизненного цикла.</w:t>
      </w:r>
    </w:p>
    <w:p>
      <w:pPr>
        <w:pStyle w:val="Heading2"/>
      </w:pPr>
      <w:r>
        <w:t>Миссия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8"/>
        <w:gridCol w:w="9648"/>
      </w:tblGrid>
      <w:tr>
        <w:tc>
          <w:tcPr>
            <w:tcW w:type="dxa" w:w="5112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D9EAF7"/>
                <w:sz w:val="4"/>
              </w:rPr>
            </w:r>
          </w:p>
        </w:tc>
        <w:tc>
          <w:tcPr>
            <w:tcW w:type="dxa" w:w="5112"/>
            <w:shd w:fill="D9EAF7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  <w:r>
              <w:rPr>
                <w:b/>
                <w:color w:val="2F5597"/>
                <w:sz w:val="22"/>
              </w:rPr>
              <w:t>Миссия ИМАШ РАН</w:t>
              <w:br/>
            </w:r>
            <w:r>
              <w:rPr>
                <w:color w:val="202124"/>
                <w:sz w:val="20"/>
              </w:rPr>
              <w:t>Создавать фундаментальные знания и инженерные методы, позволяющие проектировать, проверять и эксплуатировать сложные технические системы с доказуемой надежностью, эффективностью и безопасностью на протяжении всего жизненного цикла.</w:t>
            </w:r>
          </w:p>
        </w:tc>
      </w:tr>
    </w:tbl>
    <w:p>
      <w:pPr>
        <w:spacing w:after="0"/>
      </w:pPr>
    </w:p>
    <w:p>
      <w:pPr>
        <w:pStyle w:val="Heading2"/>
      </w:pPr>
      <w:r>
        <w:t>Пять принципов новой модели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2"/>
              </w:rPr>
              <w:t>01</w:t>
            </w:r>
          </w:p>
        </w:tc>
        <w:tc>
          <w:tcPr>
            <w:tcW w:type="dxa" w:w="3408"/>
            <w:shd w:fill="F3E8CC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21"/>
              </w:rPr>
              <w:t>Доказательность</w:t>
            </w:r>
          </w:p>
        </w:tc>
        <w:tc>
          <w:tcPr>
            <w:tcW w:type="dxa" w:w="3408"/>
            <w:shd w:fill="F4F7FA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Любая технология проходит цепочку моделей, эксперимента, воспроизводимости и измеримых критериев.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2"/>
              </w:rPr>
              <w:t>02</w:t>
            </w:r>
          </w:p>
        </w:tc>
        <w:tc>
          <w:tcPr>
            <w:tcW w:type="dxa" w:w="3408"/>
            <w:shd w:fill="F3E8CC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21"/>
              </w:rPr>
              <w:t>Жизненный цикл</w:t>
            </w:r>
          </w:p>
        </w:tc>
        <w:tc>
          <w:tcPr>
            <w:tcW w:type="dxa" w:w="3408"/>
            <w:shd w:fill="F4F7FA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Проектирование учитывает изготовление, эксплуатацию, ремонт, модернизацию, утилизацию и повторное использование.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2"/>
              </w:rPr>
              <w:t>03</w:t>
            </w:r>
          </w:p>
        </w:tc>
        <w:tc>
          <w:tcPr>
            <w:tcW w:type="dxa" w:w="3408"/>
            <w:shd w:fill="F3E8CC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21"/>
              </w:rPr>
              <w:t>Связанность</w:t>
            </w:r>
          </w:p>
        </w:tc>
        <w:tc>
          <w:tcPr>
            <w:tcW w:type="dxa" w:w="3408"/>
            <w:shd w:fill="F4F7FA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Механика рассматривается вместе с материалами, управлением, энергетикой, данными и окружающей средой.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2"/>
              </w:rPr>
              <w:t>04</w:t>
            </w:r>
          </w:p>
        </w:tc>
        <w:tc>
          <w:tcPr>
            <w:tcW w:type="dxa" w:w="3408"/>
            <w:shd w:fill="F3E8CC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21"/>
              </w:rPr>
              <w:t>Открытая кооперация</w:t>
            </w:r>
          </w:p>
        </w:tc>
        <w:tc>
          <w:tcPr>
            <w:tcW w:type="dxa" w:w="3408"/>
            <w:shd w:fill="F4F7FA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Институт становится узлом для академических институтов, вузов, КБ, госкорпораций, отраслей и регионов.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2"/>
              </w:rPr>
              <w:t>05</w:t>
            </w:r>
          </w:p>
        </w:tc>
        <w:tc>
          <w:tcPr>
            <w:tcW w:type="dxa" w:w="3408"/>
            <w:shd w:fill="F3E8CC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21"/>
              </w:rPr>
              <w:t>Преемственность</w:t>
            </w:r>
          </w:p>
        </w:tc>
        <w:tc>
          <w:tcPr>
            <w:tcW w:type="dxa" w:w="3408"/>
            <w:shd w:fill="F4F7FA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Научные школы и архив наследия переводятся в живую цифровую систему знаний и обучения.</w:t>
            </w:r>
          </w:p>
        </w:tc>
      </w:tr>
    </w:tbl>
    <w:p>
      <w:pPr>
        <w:pageBreakBefore/>
        <w:spacing w:after="0"/>
      </w:pPr>
    </w:p>
    <w:p>
      <w:pPr>
        <w:pStyle w:val="Kicker"/>
      </w:pPr>
      <w:r>
        <w:t>03 / АРХИТЕКТУРА РАЗВИТИЯ</w:t>
      </w:r>
    </w:p>
    <w:p>
      <w:pPr>
        <w:pStyle w:val="Heading1"/>
      </w:pPr>
      <w:r>
        <w:t>12 стратегических программ</w:t>
      </w:r>
    </w:p>
    <w:p>
      <w:pPr>
        <w:pStyle w:val="Lead"/>
      </w:pPr>
      <w:r>
        <w:t>Вместо разрозненного набора проектов предлагается портфель крупных программ, каждая из которых имеет фундаментальное ядро, экспериментальную базу, цифровой контур и индустриальных партнеров.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Код</w:t>
            </w:r>
          </w:p>
        </w:tc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Программа</w:t>
            </w:r>
          </w:p>
        </w:tc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Фокус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P1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Механика машин нового поколения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Динамика, нелинейность, устойчивость, колебания, волновые процессы, высокоскоростные и предельные режимы.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P2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Надежность, ресурс и разрушение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Прогноз остаточного ресурса, повреждаемость, усталость, диагностика, отказоустойчивость.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P3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Трибология и контактные системы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Трение, износ, смазка, покрытия, интерфейсы, трибодиагностика.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P4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Новые материалы и инженерия поверхности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Многомасштабные модели материалов, композиты, керамика, высокочистые материалы, функциональные покрытия.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P5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Цифровые двойники и инженерный ИИ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Мультимодельные цифровые двойники, идентификация параметров, машинное обучение с физическими ограничениями.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P6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Робототехника и автономные машины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Наземные, воздушные, подводные и производственные робототехнические комплексы.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P7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Нелинейная волновая механика и технологии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Волновые процессы как основа диагностики, обработки материалов, управления средами и новых производственных технологий.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P8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Транспортные системы 2035–2050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Высокоскоростные системы, мехатроника, подвижной состав, беспилотный транспорт, инфраструктурная механика.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P9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Энергетические машины и новая энергетика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Турбомашины, роторная динамика, накопители, водородные и гибридные решения, энергетическая эффективность.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P10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Инженерия природных и биоценозных систем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Машины для мониторинга, восстановления воды, почв, атмосферы, экосистем; природоподобные технологии.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P11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Экстремальные среды, Арктика и космос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Механика при температурах, вакууме, радиации, вибрациях; сверхнадежные технические системы.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1"/>
              </w:rPr>
              <w:t>P12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Стандарты, валидация и технологический суверенитет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Методы испытаний, эталоны, реестры моделей, независимая оценка готовности и воспроизводимости технологий.</w:t>
            </w:r>
          </w:p>
        </w:tc>
      </w:tr>
    </w:tbl>
    <w:p>
      <w:pPr>
        <w:pageBreakBefore/>
        <w:spacing w:after="0"/>
      </w:pPr>
    </w:p>
    <w:p>
      <w:pPr>
        <w:pStyle w:val="Kicker"/>
      </w:pPr>
      <w:r>
        <w:t>04 / ЦИФРОВАЯ ПЛАТФОРМА</w:t>
      </w:r>
    </w:p>
    <w:p>
      <w:pPr>
        <w:pStyle w:val="Heading1"/>
      </w:pPr>
      <w:r>
        <w:t>ИМАШ.Digital — инженерный нейросвод</w:t>
      </w:r>
    </w:p>
    <w:p>
      <w:pPr>
        <w:pStyle w:val="Lead"/>
      </w:pPr>
      <w:r>
        <w:t>Цифровая трансформация института должна строиться не вокруг документооборота, а вокруг машиночитаемого знания: модели, эксперименты, параметры, материалы, конфигурации, отказовые события и доказательства валидности.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Слой</w:t>
            </w:r>
          </w:p>
        </w:tc>
        <w:tc>
          <w:tcPr>
            <w:tcW w:type="dxa" w:w="3408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Название</w:t>
            </w:r>
          </w:p>
        </w:tc>
        <w:tc>
          <w:tcPr>
            <w:tcW w:type="dxa" w:w="3408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Назначение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L1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Реестр объектов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Машины, узлы, материалы, стенды, методы, датчики, программные модели.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L2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Граф знаний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Связи «требование → модель → эксперимент → результат → решение → стандарт».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L3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Цифровые двойники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Конфигурационно управляемые модели реальных изделий и инфраструктур.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L4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GRID / HPC / metacomputing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Распределенные вычисления, многомасштабные задачи, ансамбли моделей.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L5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Инженерный ИИ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Поиск закономерностей, surrogate-модели, диагностика, оптимизация, помощник исследователя.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L6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Контур доверия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Версионирование, происхождение данных, воспроизводимость, подписи, протоколы валидации.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L7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Федеративный обмен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Интеграция с академическими институтами, вузами и промышленными контурами без потери суверенитета данных.</w:t>
            </w:r>
          </w:p>
        </w:tc>
      </w:tr>
    </w:tbl>
    <w:p>
      <w:pPr>
        <w:pStyle w:val="Heading2"/>
      </w:pPr>
      <w:r>
        <w:t>Паспорт цифрового двойника ИМАШ</w:t>
      </w:r>
    </w:p>
    <w:p>
      <w:pPr>
        <w:pStyle w:val="ListBullet"/>
        <w:spacing w:after="60"/>
        <w:ind w:left="230" w:hanging="173"/>
      </w:pPr>
      <w:r>
        <w:rPr>
          <w:sz w:val="20"/>
        </w:rPr>
        <w:t>идентификатор объекта и конфигурация; физическая и функциональная структура;</w:t>
      </w:r>
    </w:p>
    <w:p>
      <w:pPr>
        <w:pStyle w:val="ListBullet"/>
        <w:spacing w:after="60"/>
        <w:ind w:left="230" w:hanging="173"/>
      </w:pPr>
      <w:r>
        <w:rPr>
          <w:sz w:val="20"/>
        </w:rPr>
        <w:t>набор моделей разных уровней точности; экспериментальные данные и границы применимости;</w:t>
      </w:r>
    </w:p>
    <w:p>
      <w:pPr>
        <w:pStyle w:val="ListBullet"/>
        <w:spacing w:after="60"/>
        <w:ind w:left="230" w:hanging="173"/>
      </w:pPr>
      <w:r>
        <w:rPr>
          <w:sz w:val="20"/>
        </w:rPr>
        <w:t>параметры материалов, нагрузок и среды; история изменений и ремонтов;</w:t>
      </w:r>
    </w:p>
    <w:p>
      <w:pPr>
        <w:pStyle w:val="ListBullet"/>
        <w:spacing w:after="60"/>
        <w:ind w:left="230" w:hanging="173"/>
      </w:pPr>
      <w:r>
        <w:rPr>
          <w:sz w:val="20"/>
        </w:rPr>
        <w:t>критерии верификации/валидации; неопределенности и доверительные интервалы;</w:t>
      </w:r>
    </w:p>
    <w:p>
      <w:pPr>
        <w:pStyle w:val="ListBullet"/>
        <w:spacing w:after="60"/>
        <w:ind w:left="230" w:hanging="173"/>
      </w:pPr>
      <w:r>
        <w:rPr>
          <w:sz w:val="20"/>
        </w:rPr>
        <w:t>прогноз ресурса, сценарии отказов и рекомендации по эксплуатации.</w:t>
      </w:r>
    </w:p>
    <w:p>
      <w:pPr>
        <w:pageBreakBefore/>
        <w:spacing w:after="0"/>
      </w:pPr>
    </w:p>
    <w:p>
      <w:pPr>
        <w:pStyle w:val="Kicker"/>
      </w:pPr>
      <w:r>
        <w:t>05 / ЦЕНТР ИНЖЕНЕРНОЙ ДОСТОВЕРНОСТИ</w:t>
      </w:r>
    </w:p>
    <w:p>
      <w:pPr>
        <w:pStyle w:val="Heading1"/>
      </w:pPr>
      <w:r>
        <w:t>Валидация как новая институциональная функция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8"/>
        <w:gridCol w:w="9648"/>
      </w:tblGrid>
      <w:tr>
        <w:tc>
          <w:tcPr>
            <w:tcW w:type="dxa" w:w="5112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F3E8CC"/>
                <w:sz w:val="4"/>
              </w:rPr>
            </w:r>
          </w:p>
        </w:tc>
        <w:tc>
          <w:tcPr>
            <w:tcW w:type="dxa" w:w="5112"/>
            <w:shd w:fill="F3E8CC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  <w:r>
              <w:rPr>
                <w:b/>
                <w:color w:val="B58A32"/>
                <w:sz w:val="22"/>
              </w:rPr>
              <w:t>Предложение</w:t>
              <w:br/>
            </w:r>
            <w:r>
              <w:rPr>
                <w:color w:val="202124"/>
                <w:sz w:val="20"/>
              </w:rPr>
              <w:t>Создать на базе ИМАШ РАН Центр инженерной достоверности — независимую научную платформу проверки расчетов, моделей, испытаний и технологических заявлений для сложных и критически важных систем.</w:t>
            </w:r>
          </w:p>
        </w:tc>
      </w:tr>
    </w:tbl>
    <w:p>
      <w:pPr>
        <w:spacing w:after="0"/>
      </w:pPr>
    </w:p>
    <w:p>
      <w:pPr>
        <w:pStyle w:val="Heading2"/>
      </w:pPr>
      <w:r>
        <w:t>Что валидируется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Объект</w:t>
            </w:r>
          </w:p>
        </w:tc>
        <w:tc>
          <w:tcPr>
            <w:tcW w:type="dxa" w:w="5112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Критерий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Модели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соответствие физике, сеточная/численная сходимость, чувствительность, неопределенность.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Эксперименты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методики, метрология, повторяемость, прослеживаемость данных.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Материалы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паспорта свойств, вариативность партий, деградация, условия эксплуатации.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Изделия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ресурс, надежность, предельные состояния, отказобезопасность.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ИИ-модели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область применимости, устойчивость, объяснимость, физические ограничения.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Технологии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9"/>
              </w:rPr>
              <w:t>TRL/MRL, готовность к масштабированию, критические зависимости и риски.</w:t>
            </w:r>
          </w:p>
        </w:tc>
      </w:tr>
    </w:tbl>
    <w:p>
      <w:pPr>
        <w:pStyle w:val="Heading2"/>
      </w:pPr>
      <w:r>
        <w:t>Методологическая совместимость</w:t>
      </w:r>
    </w:p>
    <w:p>
      <w:r>
        <w:t>Контур может быть совместим с международно признанными принципами лабораторной компетентности, верификации/валидации, управления происхождением данных и ответственного ИИ, при сохранении российских методик, нормативной базы и требований технологического суверенитета.</w:t>
      </w:r>
    </w:p>
    <w:p>
      <w:pPr>
        <w:pageBreakBefore/>
        <w:spacing w:after="0"/>
      </w:pPr>
    </w:p>
    <w:p>
      <w:pPr>
        <w:pStyle w:val="Kicker"/>
      </w:pPr>
      <w:r>
        <w:t>06 / НАУЧНО-ПРОМЫШЛЕННАЯ КООПЕРАЦИЯ</w:t>
      </w:r>
    </w:p>
    <w:p>
      <w:pPr>
        <w:pStyle w:val="Heading1"/>
      </w:pPr>
      <w:r>
        <w:t>От института к сети инженерных консорциумов</w:t>
      </w:r>
    </w:p>
    <w:p>
      <w:pPr>
        <w:pStyle w:val="Lead"/>
      </w:pPr>
      <w:r>
        <w:t>Сложные машины создаются не одной организацией. Поэтому ключевой организационной единицей должен стать не «разовый договор», а устойчивый консорциум вокруг технологической задачи.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Консорциум</w:t>
            </w:r>
          </w:p>
        </w:tc>
        <w:tc>
          <w:tcPr>
            <w:tcW w:type="dxa" w:w="5112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Общий предмет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Транспорт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РЖД, транспортное машиностроение, автопром, беспилотные системы, инфраструктура.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Энергетика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генерация, турбомашины, нефтегаз, атомная энергетика, распределенная энергетика.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Робототехника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промышленные, сервисные, подводные, инспекционные и автономные комплексы.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Новые материалы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металлургия, керамика, композиты, покрытия, аддитивные технологии.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Строительство и ЖКХ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машины, мониторинг сооружений, ресурс инженерной инфраструктуры, роботизация.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Экология и природные системы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мониторинг и восстановление воды, почв, воздуха; механизация полного цикла.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Космос и Арктика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механизмы для экстремальных сред, автономность, долговечность, ремонтопригодность.</w:t>
            </w:r>
          </w:p>
        </w:tc>
      </w:tr>
    </w:tbl>
    <w:p>
      <w:pPr>
        <w:pStyle w:val="Heading2"/>
      </w:pPr>
      <w:r>
        <w:t>Механизм входа промышленности</w:t>
      </w:r>
    </w:p>
    <w:p>
      <w:pPr>
        <w:pStyle w:val="ListNumber"/>
        <w:spacing w:after="60"/>
      </w:pPr>
      <w:r>
        <w:t>Формулирование измеримой технологической проблемы и базовой линии.</w:t>
      </w:r>
    </w:p>
    <w:p>
      <w:pPr>
        <w:pStyle w:val="ListNumber"/>
        <w:spacing w:after="60"/>
      </w:pPr>
      <w:r>
        <w:t>Сбор междисциплинарной команды и матрицы компетенций.</w:t>
      </w:r>
    </w:p>
    <w:p>
      <w:pPr>
        <w:pStyle w:val="ListNumber"/>
        <w:spacing w:after="60"/>
      </w:pPr>
      <w:r>
        <w:t>Создание набора моделей и экспериментальной программы.</w:t>
      </w:r>
    </w:p>
    <w:p>
      <w:pPr>
        <w:pStyle w:val="ListNumber"/>
        <w:spacing w:after="60"/>
      </w:pPr>
      <w:r>
        <w:t>Верификация/валидация и технико-экономическая оценка.</w:t>
      </w:r>
    </w:p>
    <w:p>
      <w:pPr>
        <w:pStyle w:val="ListNumber"/>
        <w:spacing w:after="60"/>
      </w:pPr>
      <w:r>
        <w:t>Опытный образец или пилот на реальном объекте.</w:t>
      </w:r>
    </w:p>
    <w:p>
      <w:pPr>
        <w:pStyle w:val="ListNumber"/>
        <w:spacing w:after="60"/>
      </w:pPr>
      <w:r>
        <w:t>Стандарт, методика, цифровой паспорт и пакет масштабирования.</w:t>
      </w:r>
    </w:p>
    <w:p>
      <w:pPr>
        <w:pageBreakBefore/>
        <w:spacing w:after="0"/>
      </w:pPr>
    </w:p>
    <w:p>
      <w:pPr>
        <w:pStyle w:val="Kicker"/>
      </w:pPr>
      <w:r>
        <w:t>07 / НАСЛЕДИЕ И НАУЧНЫЕ ШКОЛЫ</w:t>
      </w:r>
    </w:p>
    <w:p>
      <w:pPr>
        <w:pStyle w:val="Heading1"/>
      </w:pPr>
      <w:r>
        <w:t>Архив сохранения инженерного наследия</w:t>
      </w:r>
    </w:p>
    <w:p>
      <w:pPr>
        <w:pStyle w:val="Lead"/>
      </w:pPr>
      <w:r>
        <w:t>Научное наследие становится активом только тогда, когда его можно находить, сопоставлять, воспроизводить и включать в новые исследования.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8"/>
        <w:gridCol w:w="9648"/>
      </w:tblGrid>
      <w:tr>
        <w:tc>
          <w:tcPr>
            <w:tcW w:type="dxa" w:w="5112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F4F7FA"/>
                <w:sz w:val="4"/>
              </w:rPr>
            </w:r>
          </w:p>
        </w:tc>
        <w:tc>
          <w:tcPr>
            <w:tcW w:type="dxa" w:w="5112"/>
            <w:shd w:fill="F4F7FA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  <w:r>
              <w:rPr>
                <w:b/>
                <w:color w:val="2F5597"/>
                <w:sz w:val="22"/>
              </w:rPr>
              <w:t>Проект «Живой архив ИМАШ»</w:t>
              <w:br/>
            </w:r>
            <w:r>
              <w:rPr>
                <w:color w:val="202124"/>
                <w:sz w:val="20"/>
              </w:rPr>
              <w:t>Оцифровать и семантически связать труды научных школ, отчеты, чертежи, фотографии, экспериментальные журналы, стенды, методики, диссертации, патенты и программные модели с современными задачами института.</w:t>
            </w:r>
          </w:p>
        </w:tc>
      </w:tr>
    </w:tbl>
    <w:p>
      <w:pPr>
        <w:spacing w:after="0"/>
      </w:pPr>
    </w:p>
    <w:p>
      <w:pPr>
        <w:pStyle w:val="Heading2"/>
      </w:pPr>
      <w:r>
        <w:t>Структура фонда</w:t>
      </w:r>
    </w:p>
    <w:p>
      <w:pPr>
        <w:pStyle w:val="ListBullet"/>
        <w:spacing w:after="60"/>
        <w:ind w:left="230" w:hanging="173"/>
      </w:pPr>
      <w:r>
        <w:rPr>
          <w:sz w:val="20"/>
        </w:rPr>
        <w:t>Личные и именные фонды выдающихся ученых и конструкторов;</w:t>
      </w:r>
    </w:p>
    <w:p>
      <w:pPr>
        <w:pStyle w:val="ListBullet"/>
        <w:spacing w:after="60"/>
        <w:ind w:left="230" w:hanging="173"/>
      </w:pPr>
      <w:r>
        <w:rPr>
          <w:sz w:val="20"/>
        </w:rPr>
        <w:t>архив лабораторий и научных школ;</w:t>
      </w:r>
    </w:p>
    <w:p>
      <w:pPr>
        <w:pStyle w:val="ListBullet"/>
        <w:spacing w:after="60"/>
        <w:ind w:left="230" w:hanging="173"/>
      </w:pPr>
      <w:r>
        <w:rPr>
          <w:sz w:val="20"/>
        </w:rPr>
        <w:t>реестр экспериментальных стендов и уникальных установок;</w:t>
      </w:r>
    </w:p>
    <w:p>
      <w:pPr>
        <w:pStyle w:val="ListBullet"/>
        <w:spacing w:after="60"/>
        <w:ind w:left="230" w:hanging="173"/>
      </w:pPr>
      <w:r>
        <w:rPr>
          <w:sz w:val="20"/>
        </w:rPr>
        <w:t>библиотека инженерных моделей и тестовых задач;</w:t>
      </w:r>
    </w:p>
    <w:p>
      <w:pPr>
        <w:pStyle w:val="ListBullet"/>
        <w:spacing w:after="60"/>
        <w:ind w:left="230" w:hanging="173"/>
      </w:pPr>
      <w:r>
        <w:rPr>
          <w:sz w:val="20"/>
        </w:rPr>
        <w:t>каталог отказов, аварий и инженерных уроков;</w:t>
      </w:r>
    </w:p>
    <w:p>
      <w:pPr>
        <w:pStyle w:val="ListBullet"/>
        <w:spacing w:after="60"/>
        <w:ind w:left="230" w:hanging="173"/>
      </w:pPr>
      <w:r>
        <w:rPr>
          <w:sz w:val="20"/>
        </w:rPr>
        <w:t>устная история — интервью с ведущими специалистами и ветеранами института;</w:t>
      </w:r>
    </w:p>
    <w:p>
      <w:pPr>
        <w:pStyle w:val="ListBullet"/>
        <w:spacing w:after="60"/>
        <w:ind w:left="230" w:hanging="173"/>
      </w:pPr>
      <w:r>
        <w:rPr>
          <w:sz w:val="20"/>
        </w:rPr>
        <w:t>цифровая выставка «История машиноведения России».</w:t>
      </w:r>
    </w:p>
    <w:p>
      <w:pPr>
        <w:pStyle w:val="Heading2"/>
      </w:pPr>
      <w:r>
        <w:t>Принцип</w:t>
      </w:r>
    </w:p>
    <w:p>
      <w:r>
        <w:t>Каждый архивный объект получает цифровой паспорт: авторство, дата, тема, объект техники, метод, результаты, связи с современными исследованиями, права использования и уровень достоверности.</w:t>
      </w:r>
    </w:p>
    <w:p>
      <w:pPr>
        <w:pageBreakBefore/>
        <w:spacing w:after="0"/>
      </w:pPr>
    </w:p>
    <w:p>
      <w:pPr>
        <w:pStyle w:val="Kicker"/>
      </w:pPr>
      <w:r>
        <w:t>08 / КАДРЫ И ОБРАЗОВАНИЕ</w:t>
      </w:r>
    </w:p>
    <w:p>
      <w:pPr>
        <w:pStyle w:val="Heading1"/>
      </w:pPr>
      <w:r>
        <w:t>Инженерная школа ИМАШ</w:t>
      </w:r>
    </w:p>
    <w:p>
      <w:pPr>
        <w:pStyle w:val="Lead"/>
      </w:pPr>
      <w:r>
        <w:t>Кадровая стратегия должна формировать исследователя нового типа: он понимает физику, умеет считать, экспериментировать, работать с данными и доводить результат до инженерного решения.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Трек</w:t>
            </w:r>
          </w:p>
        </w:tc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Связка</w:t>
            </w:r>
          </w:p>
        </w:tc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Содержание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B58A32"/>
                <w:sz w:val="19"/>
              </w:rPr>
              <w:t>Школа 1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Механика + математика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Фундаментальная механика, нелинейная динамика, теория устойчивости, волны.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B58A32"/>
                <w:sz w:val="19"/>
              </w:rPr>
              <w:t>Школа 2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Механика + вычисления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CAE, HPC, UQ, цифровые двойники, data assimilation.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B58A32"/>
                <w:sz w:val="19"/>
              </w:rPr>
              <w:t>Школа 3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Механика + эксперимент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Стенды, измерения, диагностика, метрология, обработка сигналов.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B58A32"/>
                <w:sz w:val="19"/>
              </w:rPr>
              <w:t>Школа 4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Механика + материалы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Микроструктура, прочность, трибология, поверхности, технологические процессы.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B58A32"/>
                <w:sz w:val="19"/>
              </w:rPr>
              <w:t>Школа 5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Механика + робототехника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Мехатроника, управление, сенсоры, автономность.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B58A32"/>
                <w:sz w:val="19"/>
              </w:rPr>
              <w:t>Школа 6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Механика + внедрение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Технологическая готовность, экономика жизненного цикла, стандарты, патенты, кооперация.</w:t>
            </w:r>
          </w:p>
        </w:tc>
      </w:tr>
    </w:tbl>
    <w:p>
      <w:pPr>
        <w:pStyle w:val="Heading2"/>
      </w:pPr>
      <w:r>
        <w:t>Форматы</w:t>
      </w:r>
    </w:p>
    <w:p>
      <w:pPr>
        <w:pStyle w:val="ListBullet"/>
        <w:spacing w:after="60"/>
        <w:ind w:left="230" w:hanging="173"/>
      </w:pPr>
      <w:r>
        <w:rPr>
          <w:sz w:val="20"/>
        </w:rPr>
        <w:t>совместные магистратуры и базовые кафедры;</w:t>
      </w:r>
    </w:p>
    <w:p>
      <w:pPr>
        <w:pStyle w:val="ListBullet"/>
        <w:spacing w:after="60"/>
        <w:ind w:left="230" w:hanging="173"/>
      </w:pPr>
      <w:r>
        <w:rPr>
          <w:sz w:val="20"/>
        </w:rPr>
        <w:t>аспирантские школы вокруг крупных программ;</w:t>
      </w:r>
    </w:p>
    <w:p>
      <w:pPr>
        <w:pStyle w:val="ListBullet"/>
        <w:spacing w:after="60"/>
        <w:ind w:left="230" w:hanging="173"/>
      </w:pPr>
      <w:r>
        <w:rPr>
          <w:sz w:val="20"/>
        </w:rPr>
        <w:t>инженерные соревнования на реальных данных и стендах;</w:t>
      </w:r>
    </w:p>
    <w:p>
      <w:pPr>
        <w:pStyle w:val="ListBullet"/>
        <w:spacing w:after="60"/>
        <w:ind w:left="230" w:hanging="173"/>
      </w:pPr>
      <w:r>
        <w:rPr>
          <w:sz w:val="20"/>
        </w:rPr>
        <w:t>ротации между лабораториями, КБ и промышленными площадками;</w:t>
      </w:r>
    </w:p>
    <w:p>
      <w:pPr>
        <w:pStyle w:val="ListBullet"/>
        <w:spacing w:after="60"/>
        <w:ind w:left="230" w:hanging="173"/>
      </w:pPr>
      <w:r>
        <w:rPr>
          <w:sz w:val="20"/>
        </w:rPr>
        <w:t>программа «100 молодых исследователей ИМАШ»;</w:t>
      </w:r>
    </w:p>
    <w:p>
      <w:pPr>
        <w:pStyle w:val="ListBullet"/>
        <w:spacing w:after="60"/>
        <w:ind w:left="230" w:hanging="173"/>
      </w:pPr>
      <w:r>
        <w:rPr>
          <w:sz w:val="20"/>
        </w:rPr>
        <w:t>наставничество научных школ и гранты на рискованные фундаментальные идеи.</w:t>
      </w:r>
    </w:p>
    <w:p>
      <w:pPr>
        <w:pageBreakBefore/>
        <w:spacing w:after="0"/>
      </w:pPr>
    </w:p>
    <w:p>
      <w:pPr>
        <w:pStyle w:val="Kicker"/>
      </w:pPr>
      <w:r>
        <w:t>09 / ИНФРАСТРУКТУРА</w:t>
      </w:r>
    </w:p>
    <w:p>
      <w:pPr>
        <w:pStyle w:val="Heading1"/>
      </w:pPr>
      <w:r>
        <w:t>От отдельных стендов к фабрике эксперимента</w:t>
      </w:r>
    </w:p>
    <w:p>
      <w:pPr>
        <w:pStyle w:val="Lead"/>
      </w:pPr>
      <w:r>
        <w:t>Инфраструктура должна управляться как единый исследовательский комплекс с цифровым бронированием, паспортами точности, историей калибровок и привязкой каждого эксперимента к модели и исследовательской задаче.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D9EAF7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/>
            <w:r>
              <w:rPr>
                <w:b/>
                <w:color w:val="B58A32"/>
                <w:sz w:val="20"/>
              </w:rPr>
              <w:t>I1</w:t>
              <w:br/>
            </w:r>
            <w:r>
              <w:rPr>
                <w:b/>
                <w:color w:val="17365D"/>
                <w:sz w:val="18"/>
              </w:rPr>
              <w:t>Центр динамики и виброакустики</w:t>
            </w:r>
          </w:p>
        </w:tc>
        <w:tc>
          <w:tcPr>
            <w:tcW w:type="dxa" w:w="2556"/>
            <w:shd w:fill="D9EAF7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/>
            <w:r>
              <w:rPr>
                <w:b/>
                <w:color w:val="B58A32"/>
                <w:sz w:val="20"/>
              </w:rPr>
              <w:t>I2</w:t>
              <w:br/>
            </w:r>
            <w:r>
              <w:rPr>
                <w:b/>
                <w:color w:val="17365D"/>
                <w:sz w:val="18"/>
              </w:rPr>
              <w:t>Центр прочности, ресурса и разрушения</w:t>
            </w:r>
          </w:p>
        </w:tc>
        <w:tc>
          <w:tcPr>
            <w:tcW w:type="dxa" w:w="2556"/>
            <w:shd w:fill="D9EAF7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/>
            <w:r>
              <w:rPr>
                <w:b/>
                <w:color w:val="B58A32"/>
                <w:sz w:val="20"/>
              </w:rPr>
              <w:t>I3</w:t>
              <w:br/>
            </w:r>
            <w:r>
              <w:rPr>
                <w:b/>
                <w:color w:val="17365D"/>
                <w:sz w:val="18"/>
              </w:rPr>
              <w:t>Центр трибологии и инженерии поверхности</w:t>
            </w:r>
          </w:p>
        </w:tc>
        <w:tc>
          <w:tcPr>
            <w:tcW w:type="dxa" w:w="2556"/>
            <w:shd w:fill="D9EAF7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/>
            <w:r>
              <w:rPr>
                <w:b/>
                <w:color w:val="B58A32"/>
                <w:sz w:val="20"/>
              </w:rPr>
              <w:t>I4</w:t>
              <w:br/>
            </w:r>
            <w:r>
              <w:rPr>
                <w:b/>
                <w:color w:val="17365D"/>
                <w:sz w:val="18"/>
              </w:rPr>
              <w:t>Центр нелинейной волновой механики</w:t>
            </w:r>
          </w:p>
        </w:tc>
      </w:tr>
      <w:tr>
        <w:tc>
          <w:tcPr>
            <w:tcW w:type="dxa" w:w="2556"/>
            <w:shd w:fill="F4F7FA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/>
            <w:r>
              <w:rPr>
                <w:b/>
                <w:color w:val="B58A32"/>
                <w:sz w:val="20"/>
              </w:rPr>
              <w:t>I5</w:t>
              <w:br/>
            </w:r>
            <w:r>
              <w:rPr>
                <w:b/>
                <w:color w:val="17365D"/>
                <w:sz w:val="18"/>
              </w:rPr>
              <w:t>Центр робототехники и автономных систем</w:t>
            </w:r>
          </w:p>
        </w:tc>
        <w:tc>
          <w:tcPr>
            <w:tcW w:type="dxa" w:w="2556"/>
            <w:shd w:fill="F4F7FA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/>
            <w:r>
              <w:rPr>
                <w:b/>
                <w:color w:val="B58A32"/>
                <w:sz w:val="20"/>
              </w:rPr>
              <w:t>I6</w:t>
              <w:br/>
            </w:r>
            <w:r>
              <w:rPr>
                <w:b/>
                <w:color w:val="17365D"/>
                <w:sz w:val="18"/>
              </w:rPr>
              <w:t>Центр цифровых двойников и HPC</w:t>
            </w:r>
          </w:p>
        </w:tc>
        <w:tc>
          <w:tcPr>
            <w:tcW w:type="dxa" w:w="2556"/>
            <w:shd w:fill="F4F7FA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/>
            <w:r>
              <w:rPr>
                <w:b/>
                <w:color w:val="B58A32"/>
                <w:sz w:val="20"/>
              </w:rPr>
              <w:t>I7</w:t>
              <w:br/>
            </w:r>
            <w:r>
              <w:rPr>
                <w:b/>
                <w:color w:val="17365D"/>
                <w:sz w:val="18"/>
              </w:rPr>
              <w:t>Центр материалов и экстремальных условий</w:t>
            </w:r>
          </w:p>
        </w:tc>
        <w:tc>
          <w:tcPr>
            <w:tcW w:type="dxa" w:w="2556"/>
            <w:shd w:fill="F4F7FA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/>
            <w:r>
              <w:rPr>
                <w:b/>
                <w:color w:val="B58A32"/>
                <w:sz w:val="20"/>
              </w:rPr>
              <w:t>I8</w:t>
              <w:br/>
            </w:r>
            <w:r>
              <w:rPr>
                <w:b/>
                <w:color w:val="17365D"/>
                <w:sz w:val="18"/>
              </w:rPr>
              <w:t>Центр метрологии и инженерной валидации</w:t>
            </w:r>
          </w:p>
        </w:tc>
      </w:tr>
    </w:tbl>
    <w:p>
      <w:pPr>
        <w:pStyle w:val="Heading2"/>
      </w:pPr>
      <w:r>
        <w:t>Принцип CAPEX</w:t>
      </w:r>
    </w:p>
    <w:p>
      <w:r>
        <w:t>Новая установка приобретается только вместе с цифровым паспортом, методикой, программой загрузки, набором контрольных задач и планом межлабораторного использования. Это переводит инфраструктуру из «оборудования на балансе» в измеримый научный актив.</w:t>
      </w:r>
    </w:p>
    <w:p>
      <w:pPr>
        <w:pageBreakBefore/>
        <w:spacing w:after="0"/>
      </w:pPr>
    </w:p>
    <w:p>
      <w:pPr>
        <w:pStyle w:val="Kicker"/>
      </w:pPr>
      <w:r>
        <w:t>10 / ЭКОНОМИКА И ФОНДЫ</w:t>
      </w:r>
    </w:p>
    <w:p>
      <w:pPr>
        <w:pStyle w:val="Heading1"/>
      </w:pPr>
      <w:r>
        <w:t>Система финансирования исследований полного цикла</w:t>
      </w:r>
    </w:p>
    <w:p>
      <w:pPr>
        <w:pStyle w:val="Lead"/>
      </w:pPr>
      <w:r>
        <w:t>Устойчивость института требует портфеля источников: базовая наука финансируется как долгосрочный фундамент, а прикладные программы — через консорциумы, гранты, заказчиков и специализированные фонды.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Фонд</w:t>
            </w:r>
          </w:p>
        </w:tc>
        <w:tc>
          <w:tcPr>
            <w:tcW w:type="dxa" w:w="5112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Назначение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Фонд фундаментального машиноведения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длинные горизонты, научные школы, рискованные идеи;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Фонд молодежных лабораторий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стартовые пакеты для молодых руководителей;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Фонд уникальных установок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модернизация стендов, метрология, сервис;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Фонд цифровых моделей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разработка и сопровождение доверенных инженерных моделей;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Фонд технологических пилотов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изготовление опытных образцов и испытания у заказчика;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Фонд наследия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архив, музей, публикация научных школ, оцифровка;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Фонд трансфера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патентование, лицензирование, спин-оффы, международные и межрегиональные кооперации.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8"/>
        <w:gridCol w:w="9648"/>
      </w:tblGrid>
      <w:tr>
        <w:tc>
          <w:tcPr>
            <w:tcW w:type="dxa" w:w="5112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F3E8CC"/>
                <w:sz w:val="4"/>
              </w:rPr>
            </w:r>
          </w:p>
        </w:tc>
        <w:tc>
          <w:tcPr>
            <w:tcW w:type="dxa" w:w="5112"/>
            <w:shd w:fill="F3E8CC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  <w:r>
              <w:rPr>
                <w:b/>
                <w:color w:val="B58A32"/>
                <w:sz w:val="22"/>
              </w:rPr>
              <w:t>Принцип оценки</w:t>
              <w:br/>
            </w:r>
            <w:r>
              <w:rPr>
                <w:color w:val="202124"/>
                <w:sz w:val="20"/>
              </w:rPr>
              <w:t>Финансирование привязывается не только к публикациям, а к портфелю результатов: новое знание, экспериментальная база, подтвержденная модель, инженерная методика, патент, стандарт, подготовленные кадры, пилот и внедрение.</w:t>
            </w:r>
          </w:p>
        </w:tc>
      </w:tr>
    </w:tbl>
    <w:p>
      <w:pPr>
        <w:spacing w:after="0"/>
      </w:pPr>
    </w:p>
    <w:p>
      <w:pPr>
        <w:pageBreakBefore/>
        <w:spacing w:after="0"/>
      </w:pPr>
    </w:p>
    <w:p>
      <w:pPr>
        <w:pStyle w:val="Kicker"/>
      </w:pPr>
      <w:r>
        <w:t>11 / SUR: СИСТЕМА УПРАВЛЕНИЯ РАЗВИТИЕМ</w:t>
      </w:r>
    </w:p>
    <w:p>
      <w:pPr>
        <w:pStyle w:val="Heading1"/>
      </w:pPr>
      <w:r>
        <w:t>Место ИМАШ РАН в контуре SUR</w:t>
      </w:r>
    </w:p>
    <w:p>
      <w:pPr>
        <w:pStyle w:val="Lead"/>
      </w:pPr>
      <w:r>
        <w:t>SUR целесообразно использовать как надпроектный механизм, который связывает запрос государства и отраслей с научными компетенциями, ресурсами, данными и измеримыми результатами.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Этап</w:t>
            </w:r>
          </w:p>
        </w:tc>
        <w:tc>
          <w:tcPr>
            <w:tcW w:type="dxa" w:w="5112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Содержание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2F5597"/>
                <w:sz w:val="19"/>
              </w:rPr>
              <w:t>1. Сигнал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Стратегическая задача, дефицит, технологическая зависимость, аварийность, новая возможность.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2F5597"/>
                <w:sz w:val="19"/>
              </w:rPr>
              <w:t>2. Декомпозиция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Физические процессы, критические узлы, данные, материалы, нормативы, экономика.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2F5597"/>
                <w:sz w:val="19"/>
              </w:rPr>
              <w:t>3. Научная модель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Фундаментальная гипотеза, расчетная модель, сценарии и неопределенности.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2F5597"/>
                <w:sz w:val="19"/>
              </w:rPr>
              <w:t>4. Эксперимент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Стендовые и натурные испытания, измерения, сравнение с моделью.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2F5597"/>
                <w:sz w:val="19"/>
              </w:rPr>
              <w:t>5. Решение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Конструкция, материал, алгоритм, методика или технология.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2F5597"/>
                <w:sz w:val="19"/>
              </w:rPr>
              <w:t>6. Валидация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Доказательство работоспособности, ресурса и границ применимости.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2F5597"/>
                <w:sz w:val="19"/>
              </w:rPr>
              <w:t>7. Масштабирование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Стандарт, цифровой паспорт, производственная кооперация, тиражирование.</w:t>
            </w:r>
          </w:p>
        </w:tc>
      </w:tr>
    </w:tbl>
    <w:p>
      <w:pPr>
        <w:pStyle w:val="Heading2"/>
      </w:pPr>
      <w:r>
        <w:t>Балансы, которые видит ИМАШ</w:t>
      </w:r>
    </w:p>
    <w:p>
      <w:pPr>
        <w:pStyle w:val="ListBullet"/>
        <w:spacing w:after="60"/>
        <w:ind w:left="230" w:hanging="173"/>
      </w:pPr>
      <w:r>
        <w:rPr>
          <w:sz w:val="20"/>
        </w:rPr>
        <w:t>баланс массы, энергии и импульса;</w:t>
      </w:r>
    </w:p>
    <w:p>
      <w:pPr>
        <w:pStyle w:val="ListBullet"/>
        <w:spacing w:after="60"/>
        <w:ind w:left="230" w:hanging="173"/>
      </w:pPr>
      <w:r>
        <w:rPr>
          <w:sz w:val="20"/>
        </w:rPr>
        <w:t>баланс ресурса и надежности;</w:t>
      </w:r>
    </w:p>
    <w:p>
      <w:pPr>
        <w:pStyle w:val="ListBullet"/>
        <w:spacing w:after="60"/>
        <w:ind w:left="230" w:hanging="173"/>
      </w:pPr>
      <w:r>
        <w:rPr>
          <w:sz w:val="20"/>
        </w:rPr>
        <w:t>баланс производительности и энергоэффективности;</w:t>
      </w:r>
    </w:p>
    <w:p>
      <w:pPr>
        <w:pStyle w:val="ListBullet"/>
        <w:spacing w:after="60"/>
        <w:ind w:left="230" w:hanging="173"/>
      </w:pPr>
      <w:r>
        <w:rPr>
          <w:sz w:val="20"/>
        </w:rPr>
        <w:t>баланс стоимости жизненного цикла;</w:t>
      </w:r>
    </w:p>
    <w:p>
      <w:pPr>
        <w:pStyle w:val="ListBullet"/>
        <w:spacing w:after="60"/>
        <w:ind w:left="230" w:hanging="173"/>
      </w:pPr>
      <w:r>
        <w:rPr>
          <w:sz w:val="20"/>
        </w:rPr>
        <w:t>баланс технологической независимости и внешних зависимостей;</w:t>
      </w:r>
    </w:p>
    <w:p>
      <w:pPr>
        <w:pStyle w:val="ListBullet"/>
        <w:spacing w:after="60"/>
        <w:ind w:left="230" w:hanging="173"/>
      </w:pPr>
      <w:r>
        <w:rPr>
          <w:sz w:val="20"/>
        </w:rPr>
        <w:t>баланс человеческих компетенций и инженерных задач;</w:t>
      </w:r>
    </w:p>
    <w:p>
      <w:pPr>
        <w:pStyle w:val="ListBullet"/>
        <w:spacing w:after="60"/>
        <w:ind w:left="230" w:hanging="173"/>
      </w:pPr>
      <w:r>
        <w:rPr>
          <w:sz w:val="20"/>
        </w:rPr>
        <w:t>баланс техносферы и природной среды.</w:t>
      </w:r>
    </w:p>
    <w:p>
      <w:pPr>
        <w:pageBreakBefore/>
        <w:spacing w:after="0"/>
      </w:pPr>
    </w:p>
    <w:p>
      <w:pPr>
        <w:pStyle w:val="Kicker"/>
      </w:pPr>
      <w:r>
        <w:t>12 / ПИЛОТЫ</w:t>
      </w:r>
    </w:p>
    <w:p>
      <w:pPr>
        <w:pStyle w:val="Heading1"/>
      </w:pPr>
      <w:r>
        <w:t>10 проектов быстрого старта</w:t>
      </w:r>
    </w:p>
    <w:p>
      <w:pPr>
        <w:pStyle w:val="Lead"/>
      </w:pPr>
      <w:r>
        <w:t>Для перехода от концепции к действию нужны пилоты, которые одновременно демонстрируют научную глубину, цифровую связанность и практический результат.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№</w:t>
            </w:r>
          </w:p>
        </w:tc>
        <w:tc>
          <w:tcPr>
            <w:tcW w:type="dxa" w:w="3408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Пилот</w:t>
            </w:r>
          </w:p>
        </w:tc>
        <w:tc>
          <w:tcPr>
            <w:tcW w:type="dxa" w:w="3408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Результат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01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8"/>
              </w:rPr>
              <w:t>Цифровой двойник критического узла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Полный цикл: данные → модель → стенд → прогноз ресурса.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02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8"/>
              </w:rPr>
              <w:t>Реестр отказов машин России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Типология отказов и инженерных уроков с обезличенными данными отраслей.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03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8"/>
              </w:rPr>
              <w:t>Эталонный набор задач V&amp;V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Набор тестовых механических задач для проверки отечественного ПО и ИИ.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04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8"/>
              </w:rPr>
              <w:t>Робот-инспектор инфраструктуры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Диагностика сооружений, трубопроводов или промышленного оборудования.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05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8"/>
              </w:rPr>
              <w:t>Волновая технология диагностики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Нелинейные методы раннего обнаружения повреждений.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06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8"/>
              </w:rPr>
              <w:t>Материал с цифровым паспортом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Связка состав–структура–свойства–ресурс–условия эксплуатации.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07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8"/>
              </w:rPr>
              <w:t>Машины для биоценозного мониторинга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Модульные роботизированные комплексы для воды, почв и воздуха.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08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8"/>
              </w:rPr>
              <w:t>Открытая фабрика эксперимента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Единый цифровой каталог стендов и заказов на испытания.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09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8"/>
              </w:rPr>
              <w:t>Живой архив Благонравова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Цифровая коллекция научной школы и ее связей с современными задачами.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20"/>
              </w:rPr>
              <w:t>10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8"/>
              </w:rPr>
              <w:t>Инженерный индекс готовности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Метод оценки готовности сложной технологии к внедрению и масштабированию.</w:t>
            </w:r>
          </w:p>
        </w:tc>
      </w:tr>
    </w:tbl>
    <w:p>
      <w:pPr>
        <w:pageBreakBefore/>
        <w:spacing w:after="0"/>
      </w:pPr>
    </w:p>
    <w:p>
      <w:pPr>
        <w:pStyle w:val="Kicker"/>
      </w:pPr>
      <w:r>
        <w:t>13 / УПРАВЛЕНИЕ</w:t>
      </w:r>
    </w:p>
    <w:p>
      <w:pPr>
        <w:pStyle w:val="Heading1"/>
      </w:pPr>
      <w:r>
        <w:t>Проектная модель института</w:t>
      </w:r>
    </w:p>
    <w:p>
      <w:pPr>
        <w:pStyle w:val="Lead"/>
      </w:pPr>
      <w:r>
        <w:t>Сохранение сильных лабораторий совместимо с матричной системой крупных программ. Лаборатория хранит школу и компетенции; программа собирает междисциплинарную команду вокруг результата.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Орган</w:t>
            </w:r>
          </w:p>
        </w:tc>
        <w:tc>
          <w:tcPr>
            <w:tcW w:type="dxa" w:w="5112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Функция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Научный совет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Фундаментальная повестка, качество науки, научные школы.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Стратегический совет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Портфель программ, партнерства, приоритеты инфраструктуры.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Офис программ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Планирование, бюджеты, риски, milestones, межлабораторная координация.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Совет по валидации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Независимая оценка моделей, экспериментов, методик и готовности.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Совет молодых ученых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Кадровые траектории, молодежные лаборатории, научное предпринимательство.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Индустриальный совет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Формирование задач, пилотов и контуров внедрения с заказчиками.</w:t>
            </w:r>
          </w:p>
        </w:tc>
      </w:tr>
    </w:tbl>
    <w:p>
      <w:pPr>
        <w:pStyle w:val="Heading2"/>
      </w:pPr>
      <w:r>
        <w:t>Единица управления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8"/>
        <w:gridCol w:w="9648"/>
      </w:tblGrid>
      <w:tr>
        <w:tc>
          <w:tcPr>
            <w:tcW w:type="dxa" w:w="5112"/>
            <w:shd w:fill="2F559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F4F7FA"/>
                <w:sz w:val="4"/>
              </w:rPr>
            </w:r>
          </w:p>
        </w:tc>
        <w:tc>
          <w:tcPr>
            <w:tcW w:type="dxa" w:w="5112"/>
            <w:shd w:fill="F4F7FA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  <w:r>
              <w:rPr>
                <w:b/>
                <w:color w:val="2F5597"/>
                <w:sz w:val="22"/>
              </w:rPr>
              <w:t>Паспорт стратегической программы</w:t>
              <w:br/>
            </w:r>
            <w:r>
              <w:rPr>
                <w:color w:val="202124"/>
                <w:sz w:val="20"/>
              </w:rPr>
              <w:t>цель → научная гипотеза → система показателей → модель → эксперимент → инфраструктура → партнеры → риски → права на результаты → этапы TRL/MRL → эффект → решение о продолжении/масштабировании.</w:t>
            </w:r>
          </w:p>
        </w:tc>
      </w:tr>
    </w:tbl>
    <w:p>
      <w:pPr>
        <w:spacing w:after="0"/>
      </w:pPr>
    </w:p>
    <w:p>
      <w:pPr>
        <w:pageBreakBefore/>
        <w:spacing w:after="0"/>
      </w:pPr>
    </w:p>
    <w:p>
      <w:pPr>
        <w:pStyle w:val="Kicker"/>
      </w:pPr>
      <w:r>
        <w:t>14 / ПОКАЗАТЕЛИ</w:t>
      </w:r>
    </w:p>
    <w:p>
      <w:pPr>
        <w:pStyle w:val="Heading1"/>
      </w:pPr>
      <w:r>
        <w:t>Индекс инженерной силы ИМАШ</w:t>
      </w:r>
    </w:p>
    <w:p>
      <w:pPr>
        <w:pStyle w:val="Lead"/>
      </w:pPr>
      <w:r>
        <w:t>Показатели должны описывать не активность, а способность института превращать знание в проверяемую инженерную возможность.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Измерение</w:t>
            </w:r>
          </w:p>
        </w:tc>
        <w:tc>
          <w:tcPr>
            <w:tcW w:type="dxa" w:w="5112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Пример KPI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Научная глубина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доля работ с новыми фундаментальными результатами; качество научных школ; цитируемость в профильных областях.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Достоверность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число валидированных моделей/методик; воспроизводимость результатов; межлабораторные сличения.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Цифровая зрелость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доля проектов с цифровыми паспортами, provenance данных и управляемыми версиями моделей.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Инфраструктура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коэффициент загрузки уникальных установок; время доступа; число внешних пользователей.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Кадры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молодые руководители, аспиранты, междисциплинарные траектории, удержание талантов.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Трансфер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пилоты, лицензии, стандарты, внедрения, экономический эффект у партнеров.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Суверенитет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снижение критических технологических зависимостей по выбранным направлениям.</w:t>
            </w:r>
          </w:p>
        </w:tc>
      </w:tr>
      <w:tr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Наследие</w:t>
            </w:r>
          </w:p>
        </w:tc>
        <w:tc>
          <w:tcPr>
            <w:tcW w:type="dxa" w:w="511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доля оцифрованных фондов и повторное использование архивных результатов в новых проектах.</w:t>
            </w:r>
          </w:p>
        </w:tc>
      </w:tr>
    </w:tbl>
    <w:p>
      <w:pPr>
        <w:pageBreakBefore/>
        <w:spacing w:after="0"/>
      </w:pPr>
    </w:p>
    <w:p>
      <w:pPr>
        <w:pStyle w:val="Kicker"/>
      </w:pPr>
      <w:r>
        <w:t>15 / ДОРОЖНАЯ КАРТА</w:t>
      </w:r>
    </w:p>
    <w:p>
      <w:pPr>
        <w:pStyle w:val="Heading1"/>
      </w:pPr>
      <w:r>
        <w:t>2026–2035: четыре горизонта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Период</w:t>
            </w:r>
          </w:p>
        </w:tc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Горизонт</w:t>
            </w:r>
          </w:p>
        </w:tc>
        <w:tc>
          <w:tcPr>
            <w:tcW w:type="dxa" w:w="3408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FFFFFF"/>
                <w:sz w:val="20"/>
              </w:rPr>
              <w:t>Главные результаты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19"/>
              </w:rPr>
              <w:t>2026–2027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Сборка ядра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Аудит компетенций и стендов; 12 программ; 10 пилотов; цифровой реестр; проект Центра инженерной достоверности; запуск живого архива.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19"/>
              </w:rPr>
              <w:t>2028–2030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Интеграция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Федеративная платформа с партнерами; совместные лаборатории; масштабирование цифровых двойников; новые стандарты и испытательные методики.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19"/>
              </w:rPr>
              <w:t>2031–2033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Национальная сеть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Сеть распределенных центров машиноведения; отраслевые инженерные графы знаний; участие в крупных национальных программах.</w:t>
            </w:r>
          </w:p>
        </w:tc>
      </w:tr>
      <w:tr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B58A32"/>
                <w:sz w:val="19"/>
              </w:rPr>
              <w:t>2034–2035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/>
                <w:color w:val="17365D"/>
                <w:sz w:val="19"/>
              </w:rPr>
              <w:t>Мировой уровень</w:t>
            </w:r>
          </w:p>
        </w:tc>
        <w:tc>
          <w:tcPr>
            <w:tcW w:type="dxa" w:w="34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202124"/>
                <w:sz w:val="18"/>
              </w:rPr>
              <w:t>Экспорт инженерных методик и научных школ; международные эталонные задачи; признанный центр валидации сложных технических систем.</w:t>
            </w:r>
          </w:p>
        </w:tc>
      </w:tr>
    </w:tbl>
    <w:p>
      <w:pPr>
        <w:pStyle w:val="Heading2"/>
      </w:pPr>
      <w:r>
        <w:t>Первые 100 дней</w:t>
      </w:r>
    </w:p>
    <w:p>
      <w:pPr>
        <w:pStyle w:val="ListNumber"/>
        <w:spacing w:after="60"/>
      </w:pPr>
      <w:r>
        <w:t>Утвердить рабочую группу стратегии и владельцев 12 программ.</w:t>
      </w:r>
    </w:p>
    <w:p>
      <w:pPr>
        <w:pStyle w:val="ListNumber"/>
        <w:spacing w:after="60"/>
      </w:pPr>
      <w:r>
        <w:t>Провести инвентаризацию компетенций, стендов, программных кодов, данных, патентов и партнерств.</w:t>
      </w:r>
    </w:p>
    <w:p>
      <w:pPr>
        <w:pStyle w:val="ListNumber"/>
        <w:spacing w:after="60"/>
      </w:pPr>
      <w:r>
        <w:t>Выбрать 3–5 пилотов первого года с измеримым конечным результатом.</w:t>
      </w:r>
    </w:p>
    <w:p>
      <w:pPr>
        <w:pStyle w:val="ListNumber"/>
        <w:spacing w:after="60"/>
      </w:pPr>
      <w:r>
        <w:t>Создать минимальный реестр инженерных объектов и цифровых паспортов.</w:t>
      </w:r>
    </w:p>
    <w:p>
      <w:pPr>
        <w:pStyle w:val="ListNumber"/>
        <w:spacing w:after="60"/>
      </w:pPr>
      <w:r>
        <w:t>Подготовить положение о Центре инженерной достоверности.</w:t>
      </w:r>
    </w:p>
    <w:p>
      <w:pPr>
        <w:pStyle w:val="ListNumber"/>
        <w:spacing w:after="60"/>
      </w:pPr>
      <w:r>
        <w:t>Сформировать индустриальный совет и провести установочную сессию с ключевыми отраслями.</w:t>
      </w:r>
    </w:p>
    <w:p>
      <w:pPr>
        <w:pStyle w:val="ListNumber"/>
        <w:spacing w:after="60"/>
      </w:pPr>
      <w:r>
        <w:t>Запустить проект «Живой архив ИМАШ» и оцифровку приоритетных фондов.</w:t>
      </w:r>
    </w:p>
    <w:p>
      <w:pPr>
        <w:pStyle w:val="ListNumber"/>
        <w:spacing w:after="60"/>
      </w:pPr>
      <w:r>
        <w:t>Собрать бюджет 2027–2030 по программам, инфраструктуре и кадрам.</w:t>
      </w:r>
    </w:p>
    <w:p>
      <w:pPr>
        <w:pageBreakBefore/>
        <w:spacing w:after="0"/>
      </w:pPr>
    </w:p>
    <w:p>
      <w:pPr>
        <w:pStyle w:val="Kicker"/>
      </w:pPr>
      <w:r>
        <w:t>16 / ЦЕЛЕВОЙ ОБРАЗ</w:t>
      </w:r>
    </w:p>
    <w:p>
      <w:pPr>
        <w:pStyle w:val="Heading1"/>
      </w:pPr>
      <w:r>
        <w:t>ИМАШ РАН 2035</w:t>
      </w:r>
    </w:p>
    <w:p>
      <w:pPr>
        <w:pStyle w:val="Lead"/>
      </w:pPr>
      <w:r>
        <w:t>Институт, который знает физику машин, умеет ее рассчитывать, проверять экспериментом, фиксировать в стандарте и доводить до работающей технологии.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17365D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/>
            <w:r>
              <w:rPr>
                <w:rFonts w:ascii="Aptos" w:hAnsi="Aptos" w:eastAsia="Aptos"/>
                <w:b/>
                <w:color w:val="FFFFFF"/>
                <w:sz w:val="23"/>
              </w:rPr>
              <w:t>ФУНДАМЕНТАЛЬНАЯ НАУКА × ИНЖЕНЕРНАЯ ДОСТОВЕРНОСТЬ × ЦИФРОВЫЕ ДВОЙНИКИ × ПРОМЫШЛЕННОЕ ВНЕДРЕНИЕ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8"/>
        <w:gridCol w:w="9648"/>
      </w:tblGrid>
      <w:tr>
        <w:tc>
          <w:tcPr>
            <w:tcW w:type="dxa" w:w="5112"/>
            <w:shd w:fill="B58A3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/>
            <w:r>
              <w:rPr>
                <w:rFonts w:ascii="Aptos" w:hAnsi="Aptos" w:eastAsia="Aptos"/>
                <w:b w:val="0"/>
                <w:color w:val="F3E8CC"/>
                <w:sz w:val="4"/>
              </w:rPr>
            </w:r>
          </w:p>
        </w:tc>
        <w:tc>
          <w:tcPr>
            <w:tcW w:type="dxa" w:w="5112"/>
            <w:shd w:fill="F3E8CC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  <w:r>
              <w:rPr>
                <w:b/>
                <w:color w:val="B58A32"/>
                <w:sz w:val="22"/>
              </w:rPr>
              <w:t>Формула</w:t>
              <w:br/>
            </w:r>
            <w:r>
              <w:rPr>
                <w:color w:val="202124"/>
                <w:sz w:val="20"/>
              </w:rPr>
              <w:t>ИМАШ РАН = научная школа + экспериментальная инфраструктура + вычислительный контур + центр валидации + инженерный архив + сеть консорциумов.</w:t>
            </w:r>
          </w:p>
        </w:tc>
      </w:tr>
    </w:tbl>
    <w:p>
      <w:pPr>
        <w:spacing w:after="0"/>
      </w:pPr>
    </w:p>
    <w:p>
      <w:pPr>
        <w:pStyle w:val="Heading2"/>
      </w:pPr>
      <w:r>
        <w:t>Что это дает России</w:t>
      </w:r>
    </w:p>
    <w:p>
      <w:pPr>
        <w:pStyle w:val="ListBullet"/>
        <w:spacing w:after="60"/>
        <w:ind w:left="230" w:hanging="173"/>
      </w:pPr>
      <w:r>
        <w:rPr>
          <w:sz w:val="20"/>
        </w:rPr>
        <w:t>снижение инженерных рисков и числа дорогих ошибок на стадии внедрения;</w:t>
      </w:r>
    </w:p>
    <w:p>
      <w:pPr>
        <w:pStyle w:val="ListBullet"/>
        <w:spacing w:after="60"/>
        <w:ind w:left="230" w:hanging="173"/>
      </w:pPr>
      <w:r>
        <w:rPr>
          <w:sz w:val="20"/>
        </w:rPr>
        <w:t>ускорение перехода от фундаментального результата к промышленной технологии;</w:t>
      </w:r>
    </w:p>
    <w:p>
      <w:pPr>
        <w:pStyle w:val="ListBullet"/>
        <w:spacing w:after="60"/>
        <w:ind w:left="230" w:hanging="173"/>
      </w:pPr>
      <w:r>
        <w:rPr>
          <w:sz w:val="20"/>
        </w:rPr>
        <w:t>независимую проверку критически важных технических решений;</w:t>
      </w:r>
    </w:p>
    <w:p>
      <w:pPr>
        <w:pStyle w:val="ListBullet"/>
        <w:spacing w:after="60"/>
        <w:ind w:left="230" w:hanging="173"/>
      </w:pPr>
      <w:r>
        <w:rPr>
          <w:sz w:val="20"/>
        </w:rPr>
        <w:t>сохранение и развитие отечественных научных школ машиноведения;</w:t>
      </w:r>
    </w:p>
    <w:p>
      <w:pPr>
        <w:pStyle w:val="ListBullet"/>
        <w:spacing w:after="60"/>
        <w:ind w:left="230" w:hanging="173"/>
      </w:pPr>
      <w:r>
        <w:rPr>
          <w:sz w:val="20"/>
        </w:rPr>
        <w:t>создание библиотеки доверенных моделей и данных для отечественного инженерного ПО и ИИ;</w:t>
      </w:r>
    </w:p>
    <w:p>
      <w:pPr>
        <w:pStyle w:val="ListBullet"/>
        <w:spacing w:after="60"/>
        <w:ind w:left="230" w:hanging="173"/>
      </w:pPr>
      <w:r>
        <w:rPr>
          <w:sz w:val="20"/>
        </w:rPr>
        <w:t>межотраслевой перенос решений и более высокая отдача от исследовательской инфраструктуры;</w:t>
      </w:r>
    </w:p>
    <w:p>
      <w:pPr>
        <w:pStyle w:val="ListBullet"/>
        <w:spacing w:after="60"/>
        <w:ind w:left="230" w:hanging="173"/>
      </w:pPr>
      <w:r>
        <w:rPr>
          <w:sz w:val="20"/>
        </w:rPr>
        <w:t>подготовку поколения исследователей, способных работать на стыке физики, вычислений, эксперимента и производства.</w:t>
      </w:r>
    </w:p>
    <w:p>
      <w:pPr>
        <w:spacing w:before="320"/>
        <w:jc w:val="center"/>
      </w:pPr>
      <w:r>
        <w:rPr>
          <w:b/>
          <w:color w:val="17365D"/>
          <w:sz w:val="30"/>
        </w:rPr>
        <w:t>Машиноведение — это наука о том, как превращать законы природы в надежные системы действия.</w:t>
      </w:r>
    </w:p>
    <w:p>
      <w:pPr>
        <w:jc w:val="center"/>
      </w:pPr>
      <w:r>
        <w:rPr>
          <w:color w:val="5B6573"/>
          <w:sz w:val="17"/>
        </w:rPr>
        <w:t>Статус документа: концептуальный проект для обсуждения и последующей детализации с руководством и научными подразделениями ИМАШ РАН.</w:t>
      </w:r>
    </w:p>
    <w:sectPr w:rsidR="00FC693F" w:rsidRPr="0006063C" w:rsidSect="00034616">
      <w:footerReference w:type="default" r:id="rId9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573"/>
        <w:sz w:val="16"/>
      </w:rPr>
      <w:t>ИМАШ РАН · Стратегическая концепция 2026–2035 · проект для обсуждения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4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17365D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2F559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B58A3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17365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rPr>
      <w:rFonts w:ascii="Aptos" w:hAnsi="Aptos" w:eastAsia="Aptos"/>
      <w:b/>
      <w:color w:val="B58A32"/>
      <w:sz w:val="18"/>
    </w:rPr>
  </w:style>
  <w:style w:type="paragraph" w:customStyle="1" w:styleId="Lead">
    <w:name w:val="Lead"/>
    <w:rPr>
      <w:rFonts w:ascii="Aptos" w:hAnsi="Aptos" w:eastAsia="Aptos"/>
      <w:color w:val="202124"/>
      <w:sz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