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СОЦИАЛЬНЫЙ КАПИТАЛ И</w:t>
        <w:br/>
        <w:t>ИНСТИТУЦИОНАЛЬНОЕ ПРОЕКТИРОВАНИЕ</w:t>
      </w:r>
    </w:p>
    <w:p>
      <w:pPr>
        <w:jc w:val="center"/>
      </w:pPr>
      <w:r>
        <w:rPr>
          <w:b/>
          <w:sz w:val="28"/>
        </w:rPr>
        <w:t>Концепция для ИАЦ «ЭКВИЛИБРИУМ»</w:t>
      </w:r>
    </w:p>
    <w:p>
      <w:pPr>
        <w:jc w:val="center"/>
      </w:pPr>
      <w:r>
        <w:rPr>
          <w:i/>
        </w:rPr>
        <w:br/>
        <w:t>Стратегическая архитектура доверия, кооперации,</w:t>
        <w:br/>
        <w:t>устойчивости и качества государственных решений</w:t>
      </w:r>
    </w:p>
    <w:p>
      <w:r>
        <w:br w:type="page"/>
      </w:r>
    </w:p>
    <w:p>
      <w:pPr>
        <w:pStyle w:val="Heading1"/>
      </w:pPr>
      <w:r>
        <w:t>1. Введение</w:t>
      </w:r>
    </w:p>
    <w:p>
      <w:r>
        <w:t>Современное государство устойчиво не только благодаря территории, ресурсам, финансам, инфраструктуре, вооружённым силам и нормативной системе. Одним из ключевых факторов его жизнеспособности становится социальный капитал — совокупность доверия, устойчивых связей, способности к кооперации, общественной солидарности и легитимности институтов.</w:t>
      </w:r>
    </w:p>
    <w:p>
      <w:r>
        <w:t>В условиях усложнения экономики, ускорения технологических изменений и роста числа взаимосвязанных рисков традиционных административных механизмов становится недостаточно. Государству требуется система, способная не только реагировать на события, но и заранее проектировать институциональную среду, выявлять системные противоречия, прогнозировать последствия решений и поддерживать баланс между интересами государства, общества, экономики и человека.</w:t>
      </w:r>
    </w:p>
    <w:p>
      <w:r>
        <w:t>Такую функцию может выполнять Информационно-аналитический центр «ЭКВИЛИБРИУМ». Его задача — перейти от административного сопровождения решений к институциональной инженерии государства.</w:t>
      </w:r>
    </w:p>
    <w:p>
      <w:pPr>
        <w:pStyle w:val="Heading1"/>
      </w:pPr>
      <w:r>
        <w:t>2. Социальный капитал как стратегический ресурс</w:t>
      </w:r>
    </w:p>
    <w:p>
      <w:r>
        <w:t>Социальный капитал представляет собой совокупность нематериальных связей, благодаря которым общество и государство способны действовать согласованно.</w:t>
      </w:r>
    </w:p>
    <w:p>
      <w:r>
        <w:t>К основным элементам социального капитала относятся:</w:t>
      </w:r>
    </w:p>
    <w:p>
      <w:pPr>
        <w:pStyle w:val="ListBullet"/>
      </w:pPr>
      <w:r>
        <w:t>доверие граждан к государственным институтам;</w:t>
      </w:r>
    </w:p>
    <w:p>
      <w:pPr>
        <w:pStyle w:val="ListBullet"/>
      </w:pPr>
      <w:r>
        <w:t>доверие между гражданами и социальными группами;</w:t>
      </w:r>
    </w:p>
    <w:p>
      <w:pPr>
        <w:pStyle w:val="ListBullet"/>
      </w:pPr>
      <w:r>
        <w:t>способность к горизонтальной и вертикальной кооперации;</w:t>
      </w:r>
    </w:p>
    <w:p>
      <w:pPr>
        <w:pStyle w:val="ListBullet"/>
      </w:pPr>
      <w:r>
        <w:t>предсказуемость действий институтов;</w:t>
      </w:r>
    </w:p>
    <w:p>
      <w:pPr>
        <w:pStyle w:val="ListBullet"/>
      </w:pPr>
      <w:r>
        <w:t>репутация государственных органов;</w:t>
      </w:r>
    </w:p>
    <w:p>
      <w:pPr>
        <w:pStyle w:val="ListBullet"/>
      </w:pPr>
      <w:r>
        <w:t>устойчивость общественных договорённостей;</w:t>
      </w:r>
    </w:p>
    <w:p>
      <w:pPr>
        <w:pStyle w:val="ListBullet"/>
      </w:pPr>
      <w:r>
        <w:t>наличие механизмов участия граждан;</w:t>
      </w:r>
    </w:p>
    <w:p>
      <w:pPr>
        <w:pStyle w:val="ListBullet"/>
      </w:pPr>
      <w:r>
        <w:t>уровень социальной ответственности;</w:t>
      </w:r>
    </w:p>
    <w:p>
      <w:pPr>
        <w:pStyle w:val="ListBullet"/>
      </w:pPr>
      <w:r>
        <w:t>качество взаимодействия бизнеса, государства и общества;</w:t>
      </w:r>
    </w:p>
    <w:p>
      <w:pPr>
        <w:pStyle w:val="ListBullet"/>
      </w:pPr>
      <w:r>
        <w:t>готовность участников системы выполнять взаимные обязательства.</w:t>
      </w:r>
    </w:p>
    <w:p>
      <w:r>
        <w:t>Социальный капитал должен рассматриваться наравне с финансовым, человеческим, промышленным и природным капиталом.</w:t>
      </w:r>
    </w:p>
    <w:p>
      <w:pPr>
        <w:pStyle w:val="Heading1"/>
      </w:pPr>
      <w:r>
        <w:t>3. Формула устойчивого государства</w:t>
      </w:r>
    </w:p>
    <w:p>
      <w:r>
        <w:t>Устойчивость государства можно представить как взаимосвязь нескольких базовых компонентов:</w:t>
      </w:r>
    </w:p>
    <w:p>
      <w:r>
        <w:rPr>
          <w:b/>
        </w:rPr>
        <w:t>Институты × Доверие × Компетентность × Кооперация × Ответственность × Технологии</w:t>
      </w:r>
    </w:p>
    <w:p>
      <w:r>
        <w:rPr>
          <w:b/>
        </w:rPr>
        <w:t>при одновременном снижении: Конфликтности + Коррупции + Информационной асимметрии + Бюрократической энтропии + Потери доверия.</w:t>
      </w:r>
    </w:p>
    <w:p>
      <w:r>
        <w:t>В такой модели социальный капитал становится коэффициентом эффективности всей государственной системы. Даже сильные институты теряют эффективность при отсутствии доверия. И наоборот, высокий уровень доверия существенно снижает транзакционные издержки и повышает способность общества к мобилизации и самоорганизации.</w:t>
      </w:r>
    </w:p>
    <w:p>
      <w:pPr>
        <w:pStyle w:val="Heading1"/>
      </w:pPr>
      <w:r>
        <w:t>4. Институциональное проектирование</w:t>
      </w:r>
    </w:p>
    <w:p>
      <w:r>
        <w:t>Институциональное проектирование — это системная деятельность по созданию, модернизации и согласованию институтов, регулирующих взаимодействие государства, общества, бизнеса и граждан.</w:t>
      </w:r>
    </w:p>
    <w:p>
      <w:r>
        <w:t>Проектированию подлежат:</w:t>
      </w:r>
    </w:p>
    <w:p>
      <w:pPr>
        <w:pStyle w:val="ListBullet"/>
      </w:pPr>
      <w:r>
        <w:t>правила и полномочия;</w:t>
      </w:r>
    </w:p>
    <w:p>
      <w:pPr>
        <w:pStyle w:val="ListBullet"/>
      </w:pPr>
      <w:r>
        <w:t>процессы и ответственность;</w:t>
      </w:r>
    </w:p>
    <w:p>
      <w:pPr>
        <w:pStyle w:val="ListBullet"/>
      </w:pPr>
      <w:r>
        <w:t>информационные потоки;</w:t>
      </w:r>
    </w:p>
    <w:p>
      <w:pPr>
        <w:pStyle w:val="ListBullet"/>
      </w:pPr>
      <w:r>
        <w:t>механизмы контроля и обратной связи;</w:t>
      </w:r>
    </w:p>
    <w:p>
      <w:pPr>
        <w:pStyle w:val="ListBullet"/>
      </w:pPr>
      <w:r>
        <w:t>стимулы и ограничения;</w:t>
      </w:r>
    </w:p>
    <w:p>
      <w:pPr>
        <w:pStyle w:val="ListBullet"/>
      </w:pPr>
      <w:r>
        <w:t>методы разрешения конфликтов;</w:t>
      </w:r>
    </w:p>
    <w:p>
      <w:pPr>
        <w:pStyle w:val="ListBullet"/>
      </w:pPr>
      <w:r>
        <w:t>механизмы кооперации.</w:t>
      </w:r>
    </w:p>
    <w:p>
      <w:r>
        <w:t>Таким образом, институциональное проектирование представляет собой инженерию поведения сложных общественных систем.</w:t>
      </w:r>
    </w:p>
    <w:p>
      <w:pPr>
        <w:pStyle w:val="Heading1"/>
      </w:pPr>
      <w:r>
        <w:t>5. Государство как система потоков</w:t>
      </w:r>
    </w:p>
    <w:p>
      <w:r>
        <w:t>Для ИАЦ «ЭКВИЛИБРИУМ» целесообразно рассматривать государство как динамическую систему потоков:</w:t>
      </w:r>
    </w:p>
    <w:p>
      <w:r>
        <w:t>1. Информационные.</w:t>
      </w:r>
    </w:p>
    <w:p>
      <w:r>
        <w:t>2. Финансовые.</w:t>
      </w:r>
    </w:p>
    <w:p>
      <w:r>
        <w:t>3. Управленческие.</w:t>
      </w:r>
    </w:p>
    <w:p>
      <w:r>
        <w:t>4. Правовые.</w:t>
      </w:r>
    </w:p>
    <w:p>
      <w:r>
        <w:t>5. Кадровые.</w:t>
      </w:r>
    </w:p>
    <w:p>
      <w:r>
        <w:t>6. Технологические.</w:t>
      </w:r>
    </w:p>
    <w:p>
      <w:r>
        <w:t>7. Социальные.</w:t>
      </w:r>
    </w:p>
    <w:p>
      <w:r>
        <w:t>8. Ресурсные.</w:t>
      </w:r>
    </w:p>
    <w:p>
      <w:r>
        <w:t>9. Репутационные.</w:t>
      </w:r>
    </w:p>
    <w:p>
      <w:r>
        <w:t>10. Потоки ответственности.</w:t>
      </w:r>
    </w:p>
    <w:p>
      <w:r>
        <w:t>Нарушение любого из этих потоков приводит к накоплению системной дисфункции. ИАЦ должен выявлять такие нарушения до того, как они становятся кризисом.</w:t>
      </w:r>
    </w:p>
    <w:p>
      <w:pPr>
        <w:pStyle w:val="Heading1"/>
      </w:pPr>
      <w:r>
        <w:t>6. Роль ИАЦ «ЭКВИЛИБРИУМ»</w:t>
      </w:r>
    </w:p>
    <w:p>
      <w:r>
        <w:t>ИАЦ формируется не как дополнительный административный орган, а как надведомственный аналитический и проектный контур.</w:t>
      </w:r>
    </w:p>
    <w:p>
      <w:pPr>
        <w:pStyle w:val="ListBullet"/>
      </w:pPr>
      <w:r>
        <w:t>стратегический анализ;</w:t>
      </w:r>
    </w:p>
    <w:p>
      <w:pPr>
        <w:pStyle w:val="ListBullet"/>
      </w:pPr>
      <w:r>
        <w:t>правовая экспертиза;</w:t>
      </w:r>
    </w:p>
    <w:p>
      <w:pPr>
        <w:pStyle w:val="ListBullet"/>
      </w:pPr>
      <w:r>
        <w:t>прогнозирование;</w:t>
      </w:r>
    </w:p>
    <w:p>
      <w:pPr>
        <w:pStyle w:val="ListBullet"/>
      </w:pPr>
      <w:r>
        <w:t>межведомственная координация;</w:t>
      </w:r>
    </w:p>
    <w:p>
      <w:pPr>
        <w:pStyle w:val="ListBullet"/>
      </w:pPr>
      <w:r>
        <w:t>институциональное моделирование;</w:t>
      </w:r>
    </w:p>
    <w:p>
      <w:pPr>
        <w:pStyle w:val="ListBullet"/>
      </w:pPr>
      <w:r>
        <w:t>оценка последствий государственных решений;</w:t>
      </w:r>
    </w:p>
    <w:p>
      <w:pPr>
        <w:pStyle w:val="ListBullet"/>
      </w:pPr>
      <w:r>
        <w:t>мониторинг социальной устойчивости;</w:t>
      </w:r>
    </w:p>
    <w:p>
      <w:pPr>
        <w:pStyle w:val="ListBullet"/>
      </w:pPr>
      <w:r>
        <w:t>анализ доверия;</w:t>
      </w:r>
    </w:p>
    <w:p>
      <w:pPr>
        <w:pStyle w:val="ListBullet"/>
      </w:pPr>
      <w:r>
        <w:t>моделирование рисков;</w:t>
      </w:r>
    </w:p>
    <w:p>
      <w:pPr>
        <w:pStyle w:val="ListBullet"/>
      </w:pPr>
      <w:r>
        <w:t>разработка институциональных реформ.</w:t>
      </w:r>
    </w:p>
    <w:p>
      <w:r>
        <w:t>ИАЦ должен обеспечивать государство ответом не только на вопрос «Соответствует ли решение законодательству?», но и на вопросы о последствиях, устойчивости, изменении доверия, новых рисках и влиянии на долгосрочное развитие страны.</w:t>
      </w:r>
    </w:p>
    <w:p>
      <w:pPr>
        <w:pStyle w:val="Heading1"/>
      </w:pPr>
      <w:r>
        <w:t>7. Контур социального капитала</w:t>
      </w:r>
    </w:p>
    <w:p>
      <w:r>
        <w:t>В составе ИАЦ предлагается создать специализированный Контур социального капитала.</w:t>
      </w:r>
    </w:p>
    <w:p>
      <w:pPr>
        <w:pStyle w:val="ListBullet"/>
      </w:pPr>
      <w:r>
        <w:t>мониторинг общественного доверия;</w:t>
      </w:r>
    </w:p>
    <w:p>
      <w:pPr>
        <w:pStyle w:val="ListBullet"/>
      </w:pPr>
      <w:r>
        <w:t>анализ социальной напряжённости;</w:t>
      </w:r>
    </w:p>
    <w:p>
      <w:pPr>
        <w:pStyle w:val="ListBullet"/>
      </w:pPr>
      <w:r>
        <w:t>выявление кризисов легитимности;</w:t>
      </w:r>
    </w:p>
    <w:p>
      <w:pPr>
        <w:pStyle w:val="ListBullet"/>
      </w:pPr>
      <w:r>
        <w:t>изучение социальных сетей взаимодействия;</w:t>
      </w:r>
    </w:p>
    <w:p>
      <w:pPr>
        <w:pStyle w:val="ListBullet"/>
      </w:pPr>
      <w:r>
        <w:t>оценка качества горизонтальной кооперации;</w:t>
      </w:r>
    </w:p>
    <w:p>
      <w:pPr>
        <w:pStyle w:val="ListBullet"/>
      </w:pPr>
      <w:r>
        <w:t>измерение общественной солидарности;</w:t>
      </w:r>
    </w:p>
    <w:p>
      <w:pPr>
        <w:pStyle w:val="ListBullet"/>
      </w:pPr>
      <w:r>
        <w:t>анализ механизмов коллективного действия.</w:t>
      </w:r>
    </w:p>
    <w:p>
      <w:r>
        <w:t>Контур должен формировать регулярную карту состояния социального капитала России.</w:t>
      </w:r>
    </w:p>
    <w:p>
      <w:pPr>
        <w:pStyle w:val="Heading1"/>
      </w:pPr>
      <w:r>
        <w:t>8. Национальный индекс социального капитала</w:t>
      </w:r>
    </w:p>
    <w:p>
      <w:pPr>
        <w:pStyle w:val="Heading2"/>
      </w:pPr>
      <w:r>
        <w:t>8.1. Доверие</w:t>
      </w:r>
    </w:p>
    <w:p>
      <w:pPr>
        <w:pStyle w:val="ListBullet"/>
      </w:pPr>
      <w:r>
        <w:t>доверие к государственным институтам;</w:t>
      </w:r>
    </w:p>
    <w:p>
      <w:pPr>
        <w:pStyle w:val="ListBullet"/>
      </w:pPr>
      <w:r>
        <w:t>доверие к судебной системе;</w:t>
      </w:r>
    </w:p>
    <w:p>
      <w:pPr>
        <w:pStyle w:val="ListBullet"/>
      </w:pPr>
      <w:r>
        <w:t>доверие к муниципальным органам;</w:t>
      </w:r>
    </w:p>
    <w:p>
      <w:pPr>
        <w:pStyle w:val="ListBullet"/>
      </w:pPr>
      <w:r>
        <w:t>доверие к бизнесу;</w:t>
      </w:r>
    </w:p>
    <w:p>
      <w:pPr>
        <w:pStyle w:val="ListBullet"/>
      </w:pPr>
      <w:r>
        <w:t>межличностное доверие.</w:t>
      </w:r>
    </w:p>
    <w:p>
      <w:pPr>
        <w:pStyle w:val="Heading2"/>
      </w:pPr>
      <w:r>
        <w:t>8.2. Кооперация</w:t>
      </w:r>
    </w:p>
    <w:p>
      <w:pPr>
        <w:pStyle w:val="ListBullet"/>
      </w:pPr>
      <w:r>
        <w:t>участие граждан в общественных инициативах;</w:t>
      </w:r>
    </w:p>
    <w:p>
      <w:pPr>
        <w:pStyle w:val="ListBullet"/>
      </w:pPr>
      <w:r>
        <w:t>развитие кооперативов;</w:t>
      </w:r>
    </w:p>
    <w:p>
      <w:pPr>
        <w:pStyle w:val="ListBullet"/>
      </w:pPr>
      <w:r>
        <w:t>волонтёрство;</w:t>
      </w:r>
    </w:p>
    <w:p>
      <w:pPr>
        <w:pStyle w:val="ListBullet"/>
      </w:pPr>
      <w:r>
        <w:t>количество совместных проектов;</w:t>
      </w:r>
    </w:p>
    <w:p>
      <w:pPr>
        <w:pStyle w:val="ListBullet"/>
      </w:pPr>
      <w:r>
        <w:t>межведомственная кооперация.</w:t>
      </w:r>
    </w:p>
    <w:p>
      <w:pPr>
        <w:pStyle w:val="Heading2"/>
      </w:pPr>
      <w:r>
        <w:t>8.3. Институциональная эффективность</w:t>
      </w:r>
    </w:p>
    <w:p>
      <w:pPr>
        <w:pStyle w:val="ListBullet"/>
      </w:pPr>
      <w:r>
        <w:t>скорость принятия решений;</w:t>
      </w:r>
    </w:p>
    <w:p>
      <w:pPr>
        <w:pStyle w:val="ListBullet"/>
      </w:pPr>
      <w:r>
        <w:t>качество исполнения;</w:t>
      </w:r>
    </w:p>
    <w:p>
      <w:pPr>
        <w:pStyle w:val="ListBullet"/>
      </w:pPr>
      <w:r>
        <w:t>число административных барьеров;</w:t>
      </w:r>
    </w:p>
    <w:p>
      <w:pPr>
        <w:pStyle w:val="ListBullet"/>
      </w:pPr>
      <w:r>
        <w:t>количество дублирующих функций.</w:t>
      </w:r>
    </w:p>
    <w:p>
      <w:pPr>
        <w:pStyle w:val="Heading2"/>
      </w:pPr>
      <w:r>
        <w:t>8.4. Уровень конфликтности</w:t>
      </w:r>
    </w:p>
    <w:p>
      <w:pPr>
        <w:pStyle w:val="ListBullet"/>
      </w:pPr>
      <w:r>
        <w:t>социальные конфликты;</w:t>
      </w:r>
    </w:p>
    <w:p>
      <w:pPr>
        <w:pStyle w:val="ListBullet"/>
      </w:pPr>
      <w:r>
        <w:t>трудовые споры;</w:t>
      </w:r>
    </w:p>
    <w:p>
      <w:pPr>
        <w:pStyle w:val="ListBullet"/>
      </w:pPr>
      <w:r>
        <w:t>межведомственные конфликты;</w:t>
      </w:r>
    </w:p>
    <w:p>
      <w:pPr>
        <w:pStyle w:val="ListBullet"/>
      </w:pPr>
      <w:r>
        <w:t>региональная напряжённость.</w:t>
      </w:r>
    </w:p>
    <w:p>
      <w:pPr>
        <w:pStyle w:val="Heading2"/>
      </w:pPr>
      <w:r>
        <w:t>8.5. Ответственность</w:t>
      </w:r>
    </w:p>
    <w:p>
      <w:pPr>
        <w:pStyle w:val="ListBullet"/>
      </w:pPr>
      <w:r>
        <w:t>прозрачность решений;</w:t>
      </w:r>
    </w:p>
    <w:p>
      <w:pPr>
        <w:pStyle w:val="ListBullet"/>
      </w:pPr>
      <w:r>
        <w:t>соблюдение обязательств;</w:t>
      </w:r>
    </w:p>
    <w:p>
      <w:pPr>
        <w:pStyle w:val="ListBullet"/>
      </w:pPr>
      <w:r>
        <w:t>механизмы обратной связи;</w:t>
      </w:r>
    </w:p>
    <w:p>
      <w:pPr>
        <w:pStyle w:val="ListBullet"/>
      </w:pPr>
      <w:r>
        <w:t>эффективность общественного контроля.</w:t>
      </w:r>
    </w:p>
    <w:p>
      <w:pPr>
        <w:pStyle w:val="Heading1"/>
      </w:pPr>
      <w:r>
        <w:t>9. Методология оценки эффективности ИАЦ</w:t>
      </w:r>
    </w:p>
    <w:p>
      <w:pPr>
        <w:pStyle w:val="Heading2"/>
      </w:pPr>
      <w:r>
        <w:t>9.1. Назначение системы оценки</w:t>
      </w:r>
    </w:p>
    <w:p>
      <w:r>
        <w:t>Система оценки эффективности ИАЦ должна измерять не количество подготовленных документов, а реальное влияние центра на качество государственных решений, уровень доверия, способность институтов к кооперации и устойчивость общественно-государственной системы.</w:t>
      </w:r>
    </w:p>
    <w:p>
      <w:r>
        <w:rPr>
          <w:b/>
        </w:rPr>
        <w:t>ресурсы → аналитический продукт → использование решения → институциональный эффект → общественный результат</w:t>
      </w:r>
    </w:p>
    <w:p>
      <w:r>
        <w:t>Необходимо разделять показатели деятельности ИАЦ, качество аналитических продуктов, использование рекомендаций, системный эффект и внешние факторы.</w:t>
      </w:r>
    </w:p>
    <w:p>
      <w:pPr>
        <w:pStyle w:val="Heading2"/>
      </w:pPr>
      <w:r>
        <w:t>9.2. Принципы измерения</w:t>
      </w:r>
    </w:p>
    <w:p>
      <w:r>
        <w:t>1. Многоуровневость — входы, процессы, продукты, результаты и долгосрочные эффекты.</w:t>
      </w:r>
    </w:p>
    <w:p>
      <w:r>
        <w:t>2. Сопоставимость — единая методика для регионов, ведомств и проектов.</w:t>
      </w:r>
    </w:p>
    <w:p>
      <w:r>
        <w:t>3. Динамичность — анализ абсолютных значений и трендов.</w:t>
      </w:r>
    </w:p>
    <w:p>
      <w:r>
        <w:t>4. Проверяемость — источник данных, владелец и процедура аудита.</w:t>
      </w:r>
    </w:p>
    <w:p>
      <w:r>
        <w:t>5. Разделение факта и оценки.</w:t>
      </w:r>
    </w:p>
    <w:p>
      <w:r>
        <w:t>6. Защита от манипуляций.</w:t>
      </w:r>
    </w:p>
    <w:p>
      <w:r>
        <w:t>7. Региональная чувствительность.</w:t>
      </w:r>
    </w:p>
    <w:p>
      <w:r>
        <w:t>8. Ориентация на результат.</w:t>
      </w:r>
    </w:p>
    <w:p>
      <w:r>
        <w:t>9. Независимая верификация.</w:t>
      </w:r>
    </w:p>
    <w:p>
      <w:r>
        <w:t>10. Этическая и правовая допустимость.</w:t>
      </w:r>
    </w:p>
    <w:p>
      <w:pPr>
        <w:pStyle w:val="Heading2"/>
      </w:pPr>
      <w:r>
        <w:t>9.3. Базовая система уровней</w:t>
      </w:r>
    </w:p>
    <w:p>
      <w:r>
        <w:t>Для всех интегральных индексов используется шкала 0–100. Базовым периодом рекомендуется считать первые 12 месяцев работы системы измерений.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</w:tcPr>
          <w:p>
            <w:r>
              <w:t>Диапазон</w:t>
            </w:r>
          </w:p>
        </w:tc>
        <w:tc>
          <w:tcPr>
            <w:tcW w:type="dxa" w:w="5043"/>
          </w:tcPr>
          <w:p>
            <w:r>
              <w:t>Интерпретация</w:t>
            </w:r>
          </w:p>
        </w:tc>
      </w:tr>
      <w:tr>
        <w:tc>
          <w:tcPr>
            <w:tcW w:type="dxa" w:w="5043"/>
          </w:tcPr>
          <w:p>
            <w:r>
              <w:t>0–39</w:t>
            </w:r>
          </w:p>
        </w:tc>
        <w:tc>
          <w:tcPr>
            <w:tcW w:type="dxa" w:w="5043"/>
          </w:tcPr>
          <w:p>
            <w:r>
              <w:t>критический уровень</w:t>
            </w:r>
          </w:p>
        </w:tc>
      </w:tr>
      <w:tr>
        <w:tc>
          <w:tcPr>
            <w:tcW w:type="dxa" w:w="5043"/>
          </w:tcPr>
          <w:p>
            <w:r>
              <w:t>40–59</w:t>
            </w:r>
          </w:p>
        </w:tc>
        <w:tc>
          <w:tcPr>
            <w:tcW w:type="dxa" w:w="5043"/>
          </w:tcPr>
          <w:p>
            <w:r>
              <w:t>уязвимый уровень</w:t>
            </w:r>
          </w:p>
        </w:tc>
      </w:tr>
      <w:tr>
        <w:tc>
          <w:tcPr>
            <w:tcW w:type="dxa" w:w="5043"/>
          </w:tcPr>
          <w:p>
            <w:r>
              <w:t>60–74</w:t>
            </w:r>
          </w:p>
        </w:tc>
        <w:tc>
          <w:tcPr>
            <w:tcW w:type="dxa" w:w="5043"/>
          </w:tcPr>
          <w:p>
            <w:r>
              <w:t>приемлемый уровень</w:t>
            </w:r>
          </w:p>
        </w:tc>
      </w:tr>
      <w:tr>
        <w:tc>
          <w:tcPr>
            <w:tcW w:type="dxa" w:w="5043"/>
          </w:tcPr>
          <w:p>
            <w:r>
              <w:t>75–84</w:t>
            </w:r>
          </w:p>
        </w:tc>
        <w:tc>
          <w:tcPr>
            <w:tcW w:type="dxa" w:w="5043"/>
          </w:tcPr>
          <w:p>
            <w:r>
              <w:t>высокий уровень</w:t>
            </w:r>
          </w:p>
        </w:tc>
      </w:tr>
      <w:tr>
        <w:tc>
          <w:tcPr>
            <w:tcW w:type="dxa" w:w="5043"/>
          </w:tcPr>
          <w:p>
            <w:r>
              <w:t>85–100</w:t>
            </w:r>
          </w:p>
        </w:tc>
        <w:tc>
          <w:tcPr>
            <w:tcW w:type="dxa" w:w="5043"/>
          </w:tcPr>
          <w:p>
            <w:r>
              <w:t>устойчивый уровень</w:t>
            </w:r>
          </w:p>
        </w:tc>
      </w:tr>
    </w:tbl>
    <w:p>
      <w:pPr>
        <w:pStyle w:val="Heading2"/>
      </w:pPr>
      <w:r>
        <w:t>9.4. KPI доверия</w:t>
      </w:r>
    </w:p>
    <w:p>
      <w:pPr>
        <w:pStyle w:val="Heading3"/>
      </w:pPr>
      <w:r>
        <w:t>Индекс институционального доверия</w:t>
      </w:r>
    </w:p>
    <w:p>
      <w:r>
        <w:t>Определение: Доля респондентов, выражающих доверие к ключевым государственным институтам, нормированная по единой шкале.</w:t>
      </w:r>
    </w:p>
    <w:p>
      <w:r>
        <w:t>Источники: Опросы, онлайн-панели, обращения граждан, независимые исследования.</w:t>
      </w:r>
    </w:p>
    <w:p>
      <w:r>
        <w:t>Периодичность: Ежеквартально; официальное значение ежегодно.</w:t>
      </w:r>
    </w:p>
    <w:p>
      <w:r>
        <w:t>Пороговые уровни: &lt;40 критично; 40–59 уязвимо; 60–74 приемлемо; 75–84 высоко; ≥85 устойчиво.</w:t>
      </w:r>
    </w:p>
    <w:p>
      <w:pPr>
        <w:pStyle w:val="Heading3"/>
      </w:pPr>
      <w:r>
        <w:t>Индекс предсказуемости институтов</w:t>
      </w:r>
    </w:p>
    <w:p>
      <w:r>
        <w:t>Определение: Оценка стабильности правил, последовательности решений и соблюдения заявленных обязательств.</w:t>
      </w:r>
    </w:p>
    <w:p>
      <w:r>
        <w:t>Источники: Опросы граждан и бизнеса, анализ нормативных изменений, сроки исполнения обязательств, судебная практика.</w:t>
      </w:r>
    </w:p>
    <w:p>
      <w:r>
        <w:t>Периодичность: Ежеквартально.</w:t>
      </w:r>
    </w:p>
    <w:p>
      <w:r>
        <w:t>Пороговые уровни: &lt;45 высокая непредсказуемость; 45–59 нестабильно; 60–74 приемлемо; ≥75 высоко.</w:t>
      </w:r>
    </w:p>
    <w:p>
      <w:pPr>
        <w:pStyle w:val="Heading3"/>
      </w:pPr>
      <w:r>
        <w:t>Индекс справедливости решений</w:t>
      </w:r>
    </w:p>
    <w:p>
      <w:r>
        <w:t>Определение: Доля граждан и организаций, считающих процедуры принятия решений понятными, равными и обоснованными.</w:t>
      </w:r>
    </w:p>
    <w:p>
      <w:r>
        <w:t>Источники: Опросы, жалобы, обжалования, экспертная оценка, анализ распределения последствий.</w:t>
      </w:r>
    </w:p>
    <w:p>
      <w:r>
        <w:t>Периодичность: 2 раза в год; для крупных реформ до/после.</w:t>
      </w:r>
    </w:p>
    <w:p>
      <w:r>
        <w:t>Пороговые уровни: &lt;40 критично; 40–59 риск конфликтов; 60–74 приемлемо; ≥75 высоко.</w:t>
      </w:r>
    </w:p>
    <w:p>
      <w:pPr>
        <w:pStyle w:val="Heading3"/>
      </w:pPr>
      <w:r>
        <w:t>Скорость восстановления доверия</w:t>
      </w:r>
    </w:p>
    <w:p>
      <w:r>
        <w:t>Определение: Время стабилизации доверия после кризисного события или спорного решения.</w:t>
      </w:r>
    </w:p>
    <w:p>
      <w:r>
        <w:t>Источники: Экспресс-опросы, динамика обращений, медиамониторинг, цифровая обратная связь.</w:t>
      </w:r>
    </w:p>
    <w:p>
      <w:r>
        <w:t>Периодичность: По событию.</w:t>
      </w:r>
    </w:p>
    <w:p>
      <w:r>
        <w:t>Пороговые уровни:  &gt;180 дней критично; 91–180 уязвимо; 31–90 приемлемо; ≤30 высоко.</w:t>
      </w:r>
    </w:p>
    <w:p>
      <w:pPr>
        <w:pStyle w:val="Heading2"/>
      </w:pPr>
      <w:r>
        <w:t>9.5. KPI кооперации</w:t>
      </w:r>
    </w:p>
    <w:p>
      <w:pPr>
        <w:pStyle w:val="Heading3"/>
      </w:pPr>
      <w:r>
        <w:t>Индекс межведомственной кооперации</w:t>
      </w:r>
    </w:p>
    <w:p>
      <w:r>
        <w:t>Комплексная оценка соблюдения сроков, полноты обмена данными, конфликтов компетенций, совместных проектов и выполнения обязательств.</w:t>
      </w:r>
    </w:p>
    <w:p>
      <w:r>
        <w:t>Периодичность: Операционные показатели ежемесячно; сводный индекс ежеквартально.</w:t>
      </w:r>
    </w:p>
    <w:p>
      <w:r>
        <w:t>Пороговые уровни: &lt;40 фрагментация; 40–59 слабая кооперация; 60–74 приемлемо; 75–84 высоко; ≥85 системно.</w:t>
      </w:r>
    </w:p>
    <w:p>
      <w:pPr>
        <w:pStyle w:val="Heading3"/>
      </w:pPr>
      <w:r>
        <w:t>Доля совместных решений, исполненных в срок</w:t>
      </w:r>
    </w:p>
    <w:p>
      <w:r>
        <w:t>Доля межведомственных решений, выполненных в срок с достижением результата.</w:t>
      </w:r>
    </w:p>
    <w:p>
      <w:r>
        <w:t>Периодичность: Ежемесячно.</w:t>
      </w:r>
    </w:p>
    <w:p>
      <w:r>
        <w:t>Пороговые уровни: &lt;60% критично; 60–74% уязвимо; 75–89% приемлемо; 90–94% высоко; ≥95% устойчиво.</w:t>
      </w:r>
    </w:p>
    <w:p>
      <w:pPr>
        <w:pStyle w:val="Heading3"/>
      </w:pPr>
      <w:r>
        <w:t>Среднее время межведомственного согласования</w:t>
      </w:r>
    </w:p>
    <w:p>
      <w:r>
        <w:t>Медианное число календарных дней от регистрации вопроса до согласованной позиции.</w:t>
      </w:r>
    </w:p>
    <w:p>
      <w:r>
        <w:t>Периодичность: Ежемесячно.</w:t>
      </w:r>
    </w:p>
    <w:p>
      <w:r>
        <w:t>Пороговые уровни: &gt;60 дней критично; 31–60 риск; 15–30 приемлемо; ≤14 высоко.</w:t>
      </w:r>
    </w:p>
    <w:p>
      <w:pPr>
        <w:pStyle w:val="Heading3"/>
      </w:pPr>
      <w:r>
        <w:t>Индекс качества обмена данными</w:t>
      </w:r>
    </w:p>
    <w:p>
      <w:r>
        <w:t>Полнота, своевременность, совместимость и достоверность межведомственных данных.</w:t>
      </w:r>
    </w:p>
    <w:p>
      <w:r>
        <w:t>Периодичность: Ежемесячно.</w:t>
      </w:r>
    </w:p>
    <w:p>
      <w:r>
        <w:t>Пороговые уровни: &lt;50 критично; 50–69 недостаточно; 70–84 приемлемо; ≥85 высоко.</w:t>
      </w:r>
    </w:p>
    <w:p>
      <w:pPr>
        <w:pStyle w:val="Heading3"/>
      </w:pPr>
      <w:r>
        <w:t>Доля конфликтов компетенций, урегулированных до эскалации</w:t>
      </w:r>
    </w:p>
    <w:p>
      <w:r>
        <w:t>Доля конфликтов полномочий, разрешённых до судебного, публичного или кризисного формата.</w:t>
      </w:r>
    </w:p>
    <w:p>
      <w:r>
        <w:t>Периодичность: Ежеквартально.</w:t>
      </w:r>
    </w:p>
    <w:p>
      <w:r>
        <w:t>Пороговые уровни: &lt;50% критично; 50–69% уязвимо; 70–84% приемлемо; ≥85% высоко.</w:t>
      </w:r>
    </w:p>
    <w:p>
      <w:pPr>
        <w:pStyle w:val="Heading2"/>
      </w:pPr>
      <w:r>
        <w:t>9.6. KPI устойчивости</w:t>
      </w:r>
    </w:p>
    <w:p>
      <w:pPr>
        <w:pStyle w:val="Heading3"/>
      </w:pPr>
      <w:r>
        <w:t>Индекс институциональной устойчивости</w:t>
      </w:r>
    </w:p>
    <w:p>
      <w:r>
        <w:t>Способность сохранять выполнение ключевых функций при внешних и внутренних потрясениях.</w:t>
      </w:r>
    </w:p>
    <w:p>
      <w:r>
        <w:t>Периодичность: Ежеквартально; стресс-тест не реже 1 раза в год.</w:t>
      </w:r>
    </w:p>
    <w:p>
      <w:r>
        <w:t>Пороговые уровни: &lt;40 критично; 40–59 уязвимо; 60–74 приемлемо; 75–84 высоко; ≥85 системно.</w:t>
      </w:r>
    </w:p>
    <w:p>
      <w:pPr>
        <w:pStyle w:val="Heading3"/>
      </w:pPr>
      <w:r>
        <w:t>Время восстановления критических функций</w:t>
      </w:r>
    </w:p>
    <w:p>
      <w:r>
        <w:t>Среднее время восстановления ключевой функции после сбоя.</w:t>
      </w:r>
    </w:p>
    <w:p>
      <w:r>
        <w:t>Периодичность: По инциденту; свод ежеквартально.</w:t>
      </w:r>
    </w:p>
    <w:p>
      <w:r>
        <w:t>Пороговые уровни: &gt;72 ч критично; 25–72 ч риск; 8–24 ч приемлемо; ≤8 ч высоко.</w:t>
      </w:r>
    </w:p>
    <w:p>
      <w:pPr>
        <w:pStyle w:val="Heading3"/>
      </w:pPr>
      <w:r>
        <w:t>Индекс социальной напряжённости</w:t>
      </w:r>
    </w:p>
    <w:p>
      <w:r>
        <w:t>Агрегированная оценка конфликтности, трудовых споров, обращений и признаков нестабильности.</w:t>
      </w:r>
    </w:p>
    <w:p>
      <w:r>
        <w:t>Периодичность: Ежемесячно; при кризисах еженедельно.</w:t>
      </w:r>
    </w:p>
    <w:p>
      <w:r>
        <w:t>Пороговые уровни: 0–24 низко; 25–49 умеренно; 50–69 повышенно; 70–84 высоко; 85–100 критично.</w:t>
      </w:r>
    </w:p>
    <w:p>
      <w:pPr>
        <w:pStyle w:val="Heading3"/>
      </w:pPr>
      <w:r>
        <w:t>Доля выявленных рисков с подготовленным сценарием реагирования</w:t>
      </w:r>
    </w:p>
    <w:p>
      <w:r>
        <w:t>Доля высоких и критических рисков, для которых есть проверенный сценарий и ответственные.</w:t>
      </w:r>
    </w:p>
    <w:p>
      <w:r>
        <w:t>Периодичность: Ежеквартально.</w:t>
      </w:r>
    </w:p>
    <w:p>
      <w:r>
        <w:t>Пороговые уровни: &lt;60% критично; 60–79% уязвимо; 80–94% приемлемо; ≥95% высоко.</w:t>
      </w:r>
    </w:p>
    <w:p>
      <w:pPr>
        <w:pStyle w:val="Heading3"/>
      </w:pPr>
      <w:r>
        <w:t>Индекс региональной сбалансированности</w:t>
      </w:r>
    </w:p>
    <w:p>
      <w:r>
        <w:t>Степень равномерности доверия, кооперации и устойчивости между регионами и социальными группами.</w:t>
      </w:r>
    </w:p>
    <w:p>
      <w:r>
        <w:t>Периодичность: Ежегодно; критические отклонения ежеквартально.</w:t>
      </w:r>
    </w:p>
    <w:p>
      <w:r>
        <w:t>Пороговые уровни: &gt;30 п.п. разрыв критично; 20–30 риск; 10–19 приемлемо; &lt;10 высоко.</w:t>
      </w:r>
    </w:p>
    <w:p>
      <w:pPr>
        <w:pStyle w:val="Heading2"/>
      </w:pPr>
      <w:r>
        <w:t>9.7. KPI качества решений</w:t>
      </w:r>
    </w:p>
    <w:p>
      <w:pPr>
        <w:pStyle w:val="ListBullet"/>
      </w:pPr>
      <w:r>
        <w:t>Доля значимых решений, прошедших институциональную экспертизу.</w:t>
      </w:r>
    </w:p>
    <w:p>
      <w:pPr>
        <w:pStyle w:val="ListBullet"/>
      </w:pPr>
      <w:r>
        <w:t>Индекс полноты институционального паспорта.</w:t>
      </w:r>
    </w:p>
    <w:p>
      <w:pPr>
        <w:pStyle w:val="ListBullet"/>
      </w:pPr>
      <w:r>
        <w:t>Точность прогнозов.</w:t>
      </w:r>
    </w:p>
    <w:p>
      <w:pPr>
        <w:pStyle w:val="ListBullet"/>
      </w:pPr>
      <w:r>
        <w:t>Доля рекомендаций ИАЦ, учтённых в итоговых решениях.</w:t>
      </w:r>
    </w:p>
    <w:p>
      <w:pPr>
        <w:pStyle w:val="ListBullet"/>
      </w:pPr>
      <w:r>
        <w:t>Доля решений, скорректированных до реализации.</w:t>
      </w:r>
    </w:p>
    <w:p>
      <w:pPr>
        <w:pStyle w:val="ListBullet"/>
      </w:pPr>
      <w:r>
        <w:t>Доля решений без существенной постфактум-корректировки.</w:t>
      </w:r>
    </w:p>
    <w:p>
      <w:pPr>
        <w:pStyle w:val="ListBullet"/>
      </w:pPr>
      <w:r>
        <w:t>Индекс общественной понятности решений.</w:t>
      </w:r>
    </w:p>
    <w:p>
      <w:pPr>
        <w:pStyle w:val="Heading2"/>
      </w:pPr>
      <w:r>
        <w:t>9.8. KPI непосредственной эффективности ИАЦ</w:t>
      </w:r>
    </w:p>
    <w:p>
      <w:pPr>
        <w:pStyle w:val="ListBullet"/>
      </w:pPr>
      <w:r>
        <w:t>Соблюдение сроков подготовки аналитических продуктов.</w:t>
      </w:r>
    </w:p>
    <w:p>
      <w:pPr>
        <w:pStyle w:val="ListBullet"/>
      </w:pPr>
      <w:r>
        <w:t>Доля аналитических продуктов, прошедших внутреннюю проверку качества.</w:t>
      </w:r>
    </w:p>
    <w:p>
      <w:pPr>
        <w:pStyle w:val="ListBullet"/>
      </w:pPr>
      <w:r>
        <w:t>Доля продуктов с указанием источников, допущений и ограничений.</w:t>
      </w:r>
    </w:p>
    <w:p>
      <w:pPr>
        <w:pStyle w:val="ListBullet"/>
      </w:pPr>
      <w:r>
        <w:t>Средняя оценка заказчиков.</w:t>
      </w:r>
    </w:p>
    <w:p>
      <w:pPr>
        <w:pStyle w:val="ListBullet"/>
      </w:pPr>
      <w:r>
        <w:t>Доля проектов с проведённой постфактум-оценкой.</w:t>
      </w:r>
    </w:p>
    <w:p>
      <w:pPr>
        <w:pStyle w:val="Heading2"/>
      </w:pPr>
      <w:r>
        <w:t>9.9. Сводный индекс эффективности ИАЦ</w:t>
      </w:r>
    </w:p>
    <w:p>
      <w:r>
        <w:t>Рекомендуемая структура весов:</w:t>
      </w:r>
    </w:p>
    <w:p>
      <w:pPr>
        <w:pStyle w:val="ListBullet"/>
      </w:pPr>
      <w:r>
        <w:t>качество решений — 30%;</w:t>
      </w:r>
    </w:p>
    <w:p>
      <w:pPr>
        <w:pStyle w:val="ListBullet"/>
      </w:pPr>
      <w:r>
        <w:t>доверие и легитимность — 20%;</w:t>
      </w:r>
    </w:p>
    <w:p>
      <w:pPr>
        <w:pStyle w:val="ListBullet"/>
      </w:pPr>
      <w:r>
        <w:t>межведомственная кооперация — 20%;</w:t>
      </w:r>
    </w:p>
    <w:p>
      <w:pPr>
        <w:pStyle w:val="ListBullet"/>
      </w:pPr>
      <w:r>
        <w:t>институциональная устойчивость — 15%;</w:t>
      </w:r>
    </w:p>
    <w:p>
      <w:pPr>
        <w:pStyle w:val="ListBullet"/>
      </w:pPr>
      <w:r>
        <w:t>качество аналитических продуктов — 10%;</w:t>
      </w:r>
    </w:p>
    <w:p>
      <w:pPr>
        <w:pStyle w:val="ListBullet"/>
      </w:pPr>
      <w:r>
        <w:t>институциональное обучение и память — 5%.</w:t>
      </w:r>
    </w:p>
    <w:p>
      <w:r>
        <w:rPr>
          <w:b/>
        </w:rPr>
        <w:t>СИЭ ИАЦ = 0,30Q + 0,20D + 0,20K + 0,15U + 0,10A + 0,05M</w:t>
      </w:r>
    </w:p>
    <w:p>
      <w:r>
        <w:t>Если любой ключевой индекс ниже 40 пунктов, общий результат не может считаться устойчивым независимо от сводного значения.</w:t>
      </w:r>
    </w:p>
    <w:p>
      <w:pPr>
        <w:pStyle w:val="Heading2"/>
      </w:pPr>
      <w:r>
        <w:t>9.10. Источники данных</w:t>
      </w:r>
    </w:p>
    <w:p>
      <w:pPr>
        <w:pStyle w:val="Heading3"/>
      </w:pPr>
      <w:r>
        <w:t>Административные данные</w:t>
      </w:r>
    </w:p>
    <w:p>
      <w:pPr>
        <w:pStyle w:val="ListBullet"/>
      </w:pPr>
      <w:r>
        <w:t>государственные информационные системы</w:t>
      </w:r>
    </w:p>
    <w:p>
      <w:pPr>
        <w:pStyle w:val="ListBullet"/>
      </w:pPr>
      <w:r>
        <w:t>электронный документооборот</w:t>
      </w:r>
    </w:p>
    <w:p>
      <w:pPr>
        <w:pStyle w:val="ListBullet"/>
      </w:pPr>
      <w:r>
        <w:t>реестры решений</w:t>
      </w:r>
    </w:p>
    <w:p>
      <w:pPr>
        <w:pStyle w:val="ListBullet"/>
      </w:pPr>
      <w:r>
        <w:t>статистика исполнения</w:t>
      </w:r>
    </w:p>
    <w:p>
      <w:pPr>
        <w:pStyle w:val="ListBullet"/>
      </w:pPr>
      <w:r>
        <w:t>контрольные органы</w:t>
      </w:r>
    </w:p>
    <w:p>
      <w:pPr>
        <w:pStyle w:val="ListBullet"/>
      </w:pPr>
      <w:r>
        <w:t>судебная статистика</w:t>
      </w:r>
    </w:p>
    <w:p>
      <w:pPr>
        <w:pStyle w:val="ListBullet"/>
      </w:pPr>
      <w:r>
        <w:t>обращения граждан</w:t>
      </w:r>
    </w:p>
    <w:p>
      <w:pPr>
        <w:pStyle w:val="Heading3"/>
      </w:pPr>
      <w:r>
        <w:t>Социологические данные</w:t>
      </w:r>
    </w:p>
    <w:p>
      <w:pPr>
        <w:pStyle w:val="ListBullet"/>
      </w:pPr>
      <w:r>
        <w:t>репрезентативные опросы</w:t>
      </w:r>
    </w:p>
    <w:p>
      <w:pPr>
        <w:pStyle w:val="ListBullet"/>
      </w:pPr>
      <w:r>
        <w:t>панельные исследования</w:t>
      </w:r>
    </w:p>
    <w:p>
      <w:pPr>
        <w:pStyle w:val="ListBullet"/>
      </w:pPr>
      <w:r>
        <w:t>опросы бизнеса</w:t>
      </w:r>
    </w:p>
    <w:p>
      <w:pPr>
        <w:pStyle w:val="ListBullet"/>
      </w:pPr>
      <w:r>
        <w:t>опросы госслужащих</w:t>
      </w:r>
    </w:p>
    <w:p>
      <w:pPr>
        <w:pStyle w:val="ListBullet"/>
      </w:pPr>
      <w:r>
        <w:t>фокус-группы</w:t>
      </w:r>
    </w:p>
    <w:p>
      <w:pPr>
        <w:pStyle w:val="ListBullet"/>
      </w:pPr>
      <w:r>
        <w:t>экспертные интервью</w:t>
      </w:r>
    </w:p>
    <w:p>
      <w:pPr>
        <w:pStyle w:val="Heading3"/>
      </w:pPr>
      <w:r>
        <w:t>Цифровые данные</w:t>
      </w:r>
    </w:p>
    <w:p>
      <w:pPr>
        <w:pStyle w:val="ListBullet"/>
      </w:pPr>
      <w:r>
        <w:t>обезличенная статистика платформ</w:t>
      </w:r>
    </w:p>
    <w:p>
      <w:pPr>
        <w:pStyle w:val="ListBullet"/>
      </w:pPr>
      <w:r>
        <w:t>сроки обработки обращений</w:t>
      </w:r>
    </w:p>
    <w:p>
      <w:pPr>
        <w:pStyle w:val="ListBullet"/>
      </w:pPr>
      <w:r>
        <w:t>журналы межведомственного обмена</w:t>
      </w:r>
    </w:p>
    <w:p>
      <w:pPr>
        <w:pStyle w:val="ListBullet"/>
      </w:pPr>
      <w:r>
        <w:t>агрегированные данные госуслуг</w:t>
      </w:r>
    </w:p>
    <w:p>
      <w:pPr>
        <w:pStyle w:val="ListBullet"/>
      </w:pPr>
      <w:r>
        <w:t>мониторинг информационных потоков</w:t>
      </w:r>
    </w:p>
    <w:p>
      <w:pPr>
        <w:pStyle w:val="Heading3"/>
      </w:pPr>
      <w:r>
        <w:t>Экспертные данные</w:t>
      </w:r>
    </w:p>
    <w:p>
      <w:pPr>
        <w:pStyle w:val="ListBullet"/>
      </w:pPr>
      <w:r>
        <w:t>независимые экспертные комиссии</w:t>
      </w:r>
    </w:p>
    <w:p>
      <w:pPr>
        <w:pStyle w:val="ListBullet"/>
      </w:pPr>
      <w:r>
        <w:t>профессиональные ассоциации</w:t>
      </w:r>
    </w:p>
    <w:p>
      <w:pPr>
        <w:pStyle w:val="ListBullet"/>
      </w:pPr>
      <w:r>
        <w:t>научные организации</w:t>
      </w:r>
    </w:p>
    <w:p>
      <w:pPr>
        <w:pStyle w:val="ListBullet"/>
      </w:pPr>
      <w:r>
        <w:t>общественные советы</w:t>
      </w:r>
    </w:p>
    <w:p>
      <w:pPr>
        <w:pStyle w:val="ListBullet"/>
      </w:pPr>
      <w:r>
        <w:t>международные сопоставления</w:t>
      </w:r>
    </w:p>
    <w:p>
      <w:pPr>
        <w:pStyle w:val="Heading2"/>
      </w:pPr>
      <w:r>
        <w:t>9.11. Периодичность измерений</w:t>
      </w:r>
    </w:p>
    <w:p>
      <w:pPr>
        <w:pStyle w:val="Heading3"/>
      </w:pPr>
      <w:r>
        <w:t>Ежедневно / близко к реальному времени</w:t>
      </w:r>
    </w:p>
    <w:p>
      <w:pPr>
        <w:pStyle w:val="ListBullet"/>
      </w:pPr>
      <w:r>
        <w:t>критические инциденты</w:t>
      </w:r>
    </w:p>
    <w:p>
      <w:pPr>
        <w:pStyle w:val="ListBullet"/>
      </w:pPr>
      <w:r>
        <w:t>сбои систем</w:t>
      </w:r>
    </w:p>
    <w:p>
      <w:pPr>
        <w:pStyle w:val="ListBullet"/>
      </w:pPr>
      <w:r>
        <w:t>резкие изменения социальной напряжённости</w:t>
      </w:r>
    </w:p>
    <w:p>
      <w:pPr>
        <w:pStyle w:val="Heading3"/>
      </w:pPr>
      <w:r>
        <w:t>Ежемесячно</w:t>
      </w:r>
    </w:p>
    <w:p>
      <w:pPr>
        <w:pStyle w:val="ListBullet"/>
      </w:pPr>
      <w:r>
        <w:t>сроки согласований</w:t>
      </w:r>
    </w:p>
    <w:p>
      <w:pPr>
        <w:pStyle w:val="ListBullet"/>
      </w:pPr>
      <w:r>
        <w:t>исполнение решений</w:t>
      </w:r>
    </w:p>
    <w:p>
      <w:pPr>
        <w:pStyle w:val="ListBullet"/>
      </w:pPr>
      <w:r>
        <w:t>качество обмена данными</w:t>
      </w:r>
    </w:p>
    <w:p>
      <w:pPr>
        <w:pStyle w:val="ListBullet"/>
      </w:pPr>
      <w:r>
        <w:t>операционные показатели устойчивости</w:t>
      </w:r>
    </w:p>
    <w:p>
      <w:pPr>
        <w:pStyle w:val="Heading3"/>
      </w:pPr>
      <w:r>
        <w:t>Ежеквартально</w:t>
      </w:r>
    </w:p>
    <w:p>
      <w:pPr>
        <w:pStyle w:val="ListBullet"/>
      </w:pPr>
      <w:r>
        <w:t>доверие</w:t>
      </w:r>
    </w:p>
    <w:p>
      <w:pPr>
        <w:pStyle w:val="ListBullet"/>
      </w:pPr>
      <w:r>
        <w:t>кооперация</w:t>
      </w:r>
    </w:p>
    <w:p>
      <w:pPr>
        <w:pStyle w:val="ListBullet"/>
      </w:pPr>
      <w:r>
        <w:t>качество решений</w:t>
      </w:r>
    </w:p>
    <w:p>
      <w:pPr>
        <w:pStyle w:val="ListBullet"/>
      </w:pPr>
      <w:r>
        <w:t>точность краткосрочных прогнозов</w:t>
      </w:r>
    </w:p>
    <w:p>
      <w:pPr>
        <w:pStyle w:val="ListBullet"/>
      </w:pPr>
      <w:r>
        <w:t>конфликты компетенций</w:t>
      </w:r>
    </w:p>
    <w:p>
      <w:pPr>
        <w:pStyle w:val="Heading3"/>
      </w:pPr>
      <w:r>
        <w:t>Ежегодно</w:t>
      </w:r>
    </w:p>
    <w:p>
      <w:pPr>
        <w:pStyle w:val="ListBullet"/>
      </w:pPr>
      <w:r>
        <w:t>Национальный индекс социального капитала</w:t>
      </w:r>
    </w:p>
    <w:p>
      <w:pPr>
        <w:pStyle w:val="ListBullet"/>
      </w:pPr>
      <w:r>
        <w:t>Сводный индекс эффективности ИАЦ</w:t>
      </w:r>
    </w:p>
    <w:p>
      <w:pPr>
        <w:pStyle w:val="ListBullet"/>
      </w:pPr>
      <w:r>
        <w:t>региональная сбалансированность</w:t>
      </w:r>
    </w:p>
    <w:p>
      <w:pPr>
        <w:pStyle w:val="ListBullet"/>
      </w:pPr>
      <w:r>
        <w:t>внешний аудит методологии</w:t>
      </w:r>
    </w:p>
    <w:p>
      <w:pPr>
        <w:pStyle w:val="Heading2"/>
      </w:pPr>
      <w:r>
        <w:t>9.12. Система управленческой реакции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</w:tcPr>
          <w:p>
            <w:r>
              <w:t>Зона</w:t>
            </w:r>
          </w:p>
        </w:tc>
        <w:tc>
          <w:tcPr>
            <w:tcW w:type="dxa" w:w="3362"/>
          </w:tcPr>
          <w:p>
            <w:r>
              <w:t>Состояние</w:t>
            </w:r>
          </w:p>
        </w:tc>
        <w:tc>
          <w:tcPr>
            <w:tcW w:type="dxa" w:w="3362"/>
          </w:tcPr>
          <w:p>
            <w:r>
              <w:t>Действия</w:t>
            </w:r>
          </w:p>
        </w:tc>
      </w:tr>
      <w:tr>
        <w:tc>
          <w:tcPr>
            <w:tcW w:type="dxa" w:w="3362"/>
          </w:tcPr>
          <w:p>
            <w:r>
              <w:t>Зелёная</w:t>
            </w:r>
          </w:p>
        </w:tc>
        <w:tc>
          <w:tcPr>
            <w:tcW w:type="dxa" w:w="3362"/>
          </w:tcPr>
          <w:p>
            <w:r>
              <w:t>целевой/высокий уровень</w:t>
            </w:r>
          </w:p>
        </w:tc>
        <w:tc>
          <w:tcPr>
            <w:tcW w:type="dxa" w:w="3362"/>
          </w:tcPr>
          <w:p>
            <w:r>
              <w:t>продолжение политики, распространение практик, плановая отчётность</w:t>
            </w:r>
          </w:p>
        </w:tc>
      </w:tr>
      <w:tr>
        <w:tc>
          <w:tcPr>
            <w:tcW w:type="dxa" w:w="3362"/>
          </w:tcPr>
          <w:p>
            <w:r>
              <w:t>Жёлтая</w:t>
            </w:r>
          </w:p>
        </w:tc>
        <w:tc>
          <w:tcPr>
            <w:tcW w:type="dxa" w:w="3362"/>
          </w:tcPr>
          <w:p>
            <w:r>
              <w:t>снижение на 5–10% или уязвимый диапазон</w:t>
            </w:r>
          </w:p>
        </w:tc>
        <w:tc>
          <w:tcPr>
            <w:tcW w:type="dxa" w:w="3362"/>
          </w:tcPr>
          <w:p>
            <w:r>
              <w:t>корректирующий план, анализ причин, повторный замер</w:t>
            </w:r>
          </w:p>
        </w:tc>
      </w:tr>
      <w:tr>
        <w:tc>
          <w:tcPr>
            <w:tcW w:type="dxa" w:w="3362"/>
          </w:tcPr>
          <w:p>
            <w:r>
              <w:t>Оранжевая</w:t>
            </w:r>
          </w:p>
        </w:tc>
        <w:tc>
          <w:tcPr>
            <w:tcW w:type="dxa" w:w="3362"/>
          </w:tcPr>
          <w:p>
            <w:r>
              <w:t>снижение &gt;10% или критический порог</w:t>
            </w:r>
          </w:p>
        </w:tc>
        <w:tc>
          <w:tcPr>
            <w:tcW w:type="dxa" w:w="3362"/>
          </w:tcPr>
          <w:p>
            <w:r>
              <w:t>межведомственная группа, стресс-тест, пересмотр программы, доклад</w:t>
            </w:r>
          </w:p>
        </w:tc>
      </w:tr>
      <w:tr>
        <w:tc>
          <w:tcPr>
            <w:tcW w:type="dxa" w:w="3362"/>
          </w:tcPr>
          <w:p>
            <w:r>
              <w:t>Красная</w:t>
            </w:r>
          </w:p>
        </w:tc>
        <w:tc>
          <w:tcPr>
            <w:tcW w:type="dxa" w:w="3362"/>
          </w:tcPr>
          <w:p>
            <w:r>
              <w:t>системный кризис</w:t>
            </w:r>
          </w:p>
        </w:tc>
        <w:tc>
          <w:tcPr>
            <w:tcW w:type="dxa" w:w="3362"/>
          </w:tcPr>
          <w:p>
            <w:r>
              <w:t>кризисный мониторинг, независимая проверка, сценарии реагирования, приостановка рискованных решений</w:t>
            </w:r>
          </w:p>
        </w:tc>
      </w:tr>
    </w:tbl>
    <w:p>
      <w:pPr>
        <w:pStyle w:val="Heading1"/>
      </w:pPr>
      <w:r>
        <w:t>10. Институциональный цифровой двойник</w:t>
      </w:r>
    </w:p>
    <w:p>
      <w:r>
        <w:t>Одним из перспективных элементов ИАЦ должен стать цифровой двойник государственной системы, позволяющий моделировать реформы, налоги, социальные выплаты, мегапроекты, санкционные и технологические ограничения, демографические изменения.</w:t>
      </w:r>
    </w:p>
    <w:p>
      <w:pPr>
        <w:pStyle w:val="ListBullet"/>
      </w:pPr>
      <w:r>
        <w:t>точность прогнозов;</w:t>
      </w:r>
    </w:p>
    <w:p>
      <w:pPr>
        <w:pStyle w:val="ListBullet"/>
      </w:pPr>
      <w:r>
        <w:t>доля решений, прошедших моделирование;</w:t>
      </w:r>
    </w:p>
    <w:p>
      <w:pPr>
        <w:pStyle w:val="ListBullet"/>
      </w:pPr>
      <w:r>
        <w:t>количество выявленных рисков;</w:t>
      </w:r>
    </w:p>
    <w:p>
      <w:pPr>
        <w:pStyle w:val="ListBullet"/>
      </w:pPr>
      <w:r>
        <w:t>время подготовки сценариев;</w:t>
      </w:r>
    </w:p>
    <w:p>
      <w:pPr>
        <w:pStyle w:val="ListBullet"/>
      </w:pPr>
      <w:r>
        <w:t>качество данных;</w:t>
      </w:r>
    </w:p>
    <w:p>
      <w:pPr>
        <w:pStyle w:val="ListBullet"/>
      </w:pPr>
      <w:r>
        <w:t>доля моделей, прошедших независимую валидацию.</w:t>
      </w:r>
    </w:p>
    <w:p>
      <w:pPr>
        <w:pStyle w:val="Heading1"/>
      </w:pPr>
      <w:r>
        <w:t>11. Институциональная экспертиза решений</w:t>
      </w:r>
    </w:p>
    <w:p>
      <w:r>
        <w:t>1. Конституционность.</w:t>
      </w:r>
    </w:p>
    <w:p>
      <w:r>
        <w:t>2. Законность.</w:t>
      </w:r>
    </w:p>
    <w:p>
      <w:r>
        <w:t>3. Экономическая эффективность.</w:t>
      </w:r>
    </w:p>
    <w:p>
      <w:r>
        <w:t>4. Социальные последствия.</w:t>
      </w:r>
    </w:p>
    <w:p>
      <w:r>
        <w:t>5. Влияние на доверие.</w:t>
      </w:r>
    </w:p>
    <w:p>
      <w:r>
        <w:t>6. Национальная безопасность.</w:t>
      </w:r>
    </w:p>
    <w:p>
      <w:r>
        <w:t>7. Технологический суверенитет.</w:t>
      </w:r>
    </w:p>
    <w:p>
      <w:r>
        <w:t>8. Региональная устойчивость.</w:t>
      </w:r>
    </w:p>
    <w:p>
      <w:r>
        <w:t>9. Экологические последствия.</w:t>
      </w:r>
    </w:p>
    <w:p>
      <w:r>
        <w:t>10. Международные последствия.</w:t>
      </w:r>
    </w:p>
    <w:p>
      <w:r>
        <w:t>11. Коррупционные риски.</w:t>
      </w:r>
    </w:p>
    <w:p>
      <w:r>
        <w:t>12. Административные издержки.</w:t>
      </w:r>
    </w:p>
    <w:p>
      <w:r>
        <w:t>13. Долгосрочная устойчивость.</w:t>
      </w:r>
    </w:p>
    <w:p>
      <w:r>
        <w:t>Результатом становится институциональный паспорт решения.</w:t>
      </w:r>
    </w:p>
    <w:p>
      <w:pPr>
        <w:pStyle w:val="Heading1"/>
      </w:pPr>
      <w:r>
        <w:t>12. Межведомственный арбитраж</w:t>
      </w:r>
    </w:p>
    <w:p>
      <w:r>
        <w:t>ИАЦ может выполнять функцию интеллектуального арбитража между государственными институтами, не заменяя суды, а предотвращая институциональные конфликты до перехода их в открытую фазу.</w:t>
      </w:r>
    </w:p>
    <w:p>
      <w:pPr>
        <w:pStyle w:val="ListBullet"/>
      </w:pPr>
      <w:r>
        <w:t>выявление дублирующих полномочий;</w:t>
      </w:r>
    </w:p>
    <w:p>
      <w:pPr>
        <w:pStyle w:val="ListBullet"/>
      </w:pPr>
      <w:r>
        <w:t>обнаружение нормативных противоречий;</w:t>
      </w:r>
    </w:p>
    <w:p>
      <w:pPr>
        <w:pStyle w:val="ListBullet"/>
      </w:pPr>
      <w:r>
        <w:t>анализ конфликтов интересов;</w:t>
      </w:r>
    </w:p>
    <w:p>
      <w:pPr>
        <w:pStyle w:val="ListBullet"/>
      </w:pPr>
      <w:r>
        <w:t>подготовка вариантов решения;</w:t>
      </w:r>
    </w:p>
    <w:p>
      <w:pPr>
        <w:pStyle w:val="ListBullet"/>
      </w:pPr>
      <w:r>
        <w:t>моделирование последствий;</w:t>
      </w:r>
    </w:p>
    <w:p>
      <w:pPr>
        <w:pStyle w:val="ListBullet"/>
      </w:pPr>
      <w:r>
        <w:t>поиск компромиссных механизмов.</w:t>
      </w:r>
    </w:p>
    <w:p>
      <w:pPr>
        <w:pStyle w:val="Heading1"/>
      </w:pPr>
      <w:r>
        <w:t>13. Архитектура ИАЦ</w:t>
      </w:r>
    </w:p>
    <w:p>
      <w:pPr>
        <w:pStyle w:val="Heading2"/>
      </w:pPr>
      <w:r>
        <w:t>Блок 1. Стратегический анализ</w:t>
      </w:r>
    </w:p>
    <w:p>
      <w:r>
        <w:t>Анализ глобальных и национальных процессов.</w:t>
      </w:r>
    </w:p>
    <w:p>
      <w:pPr>
        <w:pStyle w:val="Heading2"/>
      </w:pPr>
      <w:r>
        <w:t>Блок 2. Правовая экспертиза</w:t>
      </w:r>
    </w:p>
    <w:p>
      <w:r>
        <w:t>Конституционная, нормативная и институциональная экспертиза.</w:t>
      </w:r>
    </w:p>
    <w:p>
      <w:pPr>
        <w:pStyle w:val="Heading2"/>
      </w:pPr>
      <w:r>
        <w:t>Блок 3. Социальный капитал</w:t>
      </w:r>
    </w:p>
    <w:p>
      <w:r>
        <w:t>Мониторинг доверия и общественной устойчивости.</w:t>
      </w:r>
    </w:p>
    <w:p>
      <w:pPr>
        <w:pStyle w:val="Heading2"/>
      </w:pPr>
      <w:r>
        <w:t>Блок 4. Институциональное проектирование</w:t>
      </w:r>
    </w:p>
    <w:p>
      <w:r>
        <w:t>Создание и модернизация институтов.</w:t>
      </w:r>
    </w:p>
    <w:p>
      <w:pPr>
        <w:pStyle w:val="Heading2"/>
      </w:pPr>
      <w:r>
        <w:t>Блок 5. Экономическое моделирование</w:t>
      </w:r>
    </w:p>
    <w:p>
      <w:r>
        <w:t>Оценка финансовых и экономических последствий.</w:t>
      </w:r>
    </w:p>
    <w:p>
      <w:pPr>
        <w:pStyle w:val="Heading2"/>
      </w:pPr>
      <w:r>
        <w:t>Блок 6. Технологический анализ</w:t>
      </w:r>
    </w:p>
    <w:p>
      <w:r>
        <w:t>ИИ, промышленность и технологический суверенитет.</w:t>
      </w:r>
    </w:p>
    <w:p>
      <w:pPr>
        <w:pStyle w:val="Heading2"/>
      </w:pPr>
      <w:r>
        <w:t>Блок 7. Национальная безопасность</w:t>
      </w:r>
    </w:p>
    <w:p>
      <w:r>
        <w:t>Комплексная оценка угроз.</w:t>
      </w:r>
    </w:p>
    <w:p>
      <w:pPr>
        <w:pStyle w:val="Heading2"/>
      </w:pPr>
      <w:r>
        <w:t>Блок 8. Международный анализ</w:t>
      </w:r>
    </w:p>
    <w:p>
      <w:r>
        <w:t>Мировая институциональная среда и международное право.</w:t>
      </w:r>
    </w:p>
    <w:p>
      <w:pPr>
        <w:pStyle w:val="Heading2"/>
      </w:pPr>
      <w:r>
        <w:t>Блок 9. Прогнозирование</w:t>
      </w:r>
    </w:p>
    <w:p>
      <w:r>
        <w:t>Форсайт и сценарное моделирование.</w:t>
      </w:r>
    </w:p>
    <w:p>
      <w:pPr>
        <w:pStyle w:val="Heading2"/>
      </w:pPr>
      <w:r>
        <w:t>Блок 10. Цифровая платформа «ЭКВИЛИБРИУМ»</w:t>
      </w:r>
    </w:p>
    <w:p>
      <w:r>
        <w:t>Единое аналитическое пространство.</w:t>
      </w:r>
    </w:p>
    <w:p>
      <w:pPr>
        <w:pStyle w:val="Heading1"/>
      </w:pPr>
      <w:r>
        <w:t>14. Искусственный интеллект</w:t>
      </w:r>
    </w:p>
    <w:p>
      <w:r>
        <w:t>ИИ должен быть инструментом аналитиков, а не автономным источником государственных решений.</w:t>
      </w:r>
    </w:p>
    <w:p>
      <w:pPr>
        <w:pStyle w:val="ListBullet"/>
      </w:pPr>
      <w:r>
        <w:t>обработка больших массивов данных;</w:t>
      </w:r>
    </w:p>
    <w:p>
      <w:pPr>
        <w:pStyle w:val="ListBullet"/>
      </w:pPr>
      <w:r>
        <w:t>обнаружение аномалий;</w:t>
      </w:r>
    </w:p>
    <w:p>
      <w:pPr>
        <w:pStyle w:val="ListBullet"/>
      </w:pPr>
      <w:r>
        <w:t>поиск скрытых взаимосвязей;</w:t>
      </w:r>
    </w:p>
    <w:p>
      <w:pPr>
        <w:pStyle w:val="ListBullet"/>
      </w:pPr>
      <w:r>
        <w:t>построение сценариев;</w:t>
      </w:r>
    </w:p>
    <w:p>
      <w:pPr>
        <w:pStyle w:val="ListBullet"/>
      </w:pPr>
      <w:r>
        <w:t>анализ нормативных документов;</w:t>
      </w:r>
    </w:p>
    <w:p>
      <w:pPr>
        <w:pStyle w:val="ListBullet"/>
      </w:pPr>
      <w:r>
        <w:t>оценка системных рисков;</w:t>
      </w:r>
    </w:p>
    <w:p>
      <w:pPr>
        <w:pStyle w:val="ListBullet"/>
      </w:pPr>
      <w:r>
        <w:t>моделирование решений.</w:t>
      </w:r>
    </w:p>
    <w:p>
      <w:r>
        <w:t>Критические выводы должны проходить экспертную проверку, а окончательные решения оставаться за человеком и установленными государственными институтами.</w:t>
      </w:r>
    </w:p>
    <w:p>
      <w:pPr>
        <w:pStyle w:val="Heading1"/>
      </w:pPr>
      <w:r>
        <w:t>15. Контур доверия</w:t>
      </w:r>
    </w:p>
    <w:p>
      <w:pPr>
        <w:pStyle w:val="ListBullet"/>
      </w:pPr>
      <w:r>
        <w:t>рост социальной напряжённости;</w:t>
      </w:r>
    </w:p>
    <w:p>
      <w:pPr>
        <w:pStyle w:val="ListBullet"/>
      </w:pPr>
      <w:r>
        <w:t>снижение доверия к институтам;</w:t>
      </w:r>
    </w:p>
    <w:p>
      <w:pPr>
        <w:pStyle w:val="ListBullet"/>
      </w:pPr>
      <w:r>
        <w:t>ощущение несправедливости;</w:t>
      </w:r>
    </w:p>
    <w:p>
      <w:pPr>
        <w:pStyle w:val="ListBullet"/>
      </w:pPr>
      <w:r>
        <w:t>ухудшение коммуникации власти и общества;</w:t>
      </w:r>
    </w:p>
    <w:p>
      <w:pPr>
        <w:pStyle w:val="ListBullet"/>
      </w:pPr>
      <w:r>
        <w:t>рост административной дистанции.</w:t>
      </w:r>
    </w:p>
    <w:p>
      <w:r>
        <w:t>На основании анализа формируются рекомендации по восстановлению доверия.</w:t>
      </w:r>
    </w:p>
    <w:p>
      <w:pPr>
        <w:pStyle w:val="Heading1"/>
      </w:pPr>
      <w:r>
        <w:t>16. Контур кооперации</w:t>
      </w:r>
    </w:p>
    <w:p>
      <w:pPr>
        <w:pStyle w:val="ListBullet"/>
      </w:pPr>
      <w:r>
        <w:t>скорость межведомственного взаимодействия;</w:t>
      </w:r>
    </w:p>
    <w:p>
      <w:pPr>
        <w:pStyle w:val="ListBullet"/>
      </w:pPr>
      <w:r>
        <w:t>число совместных программ;</w:t>
      </w:r>
    </w:p>
    <w:p>
      <w:pPr>
        <w:pStyle w:val="ListBullet"/>
      </w:pPr>
      <w:r>
        <w:t>качество обмена данными;</w:t>
      </w:r>
    </w:p>
    <w:p>
      <w:pPr>
        <w:pStyle w:val="ListBullet"/>
      </w:pPr>
      <w:r>
        <w:t>количество конфликтов компетенций;</w:t>
      </w:r>
    </w:p>
    <w:p>
      <w:pPr>
        <w:pStyle w:val="ListBullet"/>
      </w:pPr>
      <w:r>
        <w:t>длительность согласований;</w:t>
      </w:r>
    </w:p>
    <w:p>
      <w:pPr>
        <w:pStyle w:val="ListBullet"/>
      </w:pPr>
      <w:r>
        <w:t>число дублирующих функций.</w:t>
      </w:r>
    </w:p>
    <w:p>
      <w:pPr>
        <w:pStyle w:val="Heading1"/>
      </w:pPr>
      <w:r>
        <w:t>17. Институциональная память государства</w:t>
      </w:r>
    </w:p>
    <w:p>
      <w:r>
        <w:t>ИАЦ должен формировать единое хранилище институционального опыта: реформы, программы, причины успехов и неудач, кризисы, чрезвычайные ситуации и международный опыт.</w:t>
      </w:r>
    </w:p>
    <w:p>
      <w:r>
        <w:t>Цель — предотвращение повторения ранее совершённых системных ошибок.</w:t>
      </w:r>
    </w:p>
    <w:p>
      <w:pPr>
        <w:pStyle w:val="Heading1"/>
      </w:pPr>
      <w:r>
        <w:t>18. Принцип независимой аналитики</w:t>
      </w:r>
    </w:p>
    <w:p>
      <w:r>
        <w:rPr>
          <w:b/>
        </w:rPr>
        <w:t>Точность анализа выше административного удобства.</w:t>
      </w:r>
    </w:p>
    <w:p>
      <w:r>
        <w:t>ИАЦ должен иметь возможность представлять руководству страны объективную оценку даже тогда, когда выводы не совпадают с ожиданиями отдельных ведомств.</w:t>
      </w:r>
    </w:p>
    <w:p>
      <w:pPr>
        <w:pStyle w:val="Heading1"/>
      </w:pPr>
      <w:r>
        <w:t>19. Связь с системой «ЭКВИЛИБРИУМ»</w:t>
      </w:r>
    </w:p>
    <w:p>
      <w:r>
        <w:rPr>
          <w:b/>
        </w:rPr>
        <w:t>наблюдение → данные → анализ → прогноз → экспертиза → моделирование → решение → исполнение → контроль → обратная связь</w:t>
      </w:r>
    </w:p>
    <w:p>
      <w:r>
        <w:t>Так ИАЦ превращается из аналитического учреждения в постоянно работающую систему институционального развития.</w:t>
      </w:r>
    </w:p>
    <w:p>
      <w:pPr>
        <w:pStyle w:val="Heading1"/>
      </w:pPr>
      <w:r>
        <w:t>20. Связь с ECO-PPA и СФЕРОЙ</w:t>
      </w:r>
    </w:p>
    <w:p>
      <w:pPr>
        <w:pStyle w:val="ListBullet"/>
      </w:pPr>
      <w:r>
        <w:t>ЭКВИЛИБРИУМ — наблюдение, аналитика и прогнозирование.</w:t>
      </w:r>
    </w:p>
    <w:p>
      <w:pPr>
        <w:pStyle w:val="ListBullet"/>
      </w:pPr>
      <w:r>
        <w:t>ИАЦ — стратегическая экспертиза и институциональное проектирование.</w:t>
      </w:r>
    </w:p>
    <w:p>
      <w:pPr>
        <w:pStyle w:val="ListBullet"/>
      </w:pPr>
      <w:r>
        <w:t>СФЕРА — пространство инициатив и общественной кооперации.</w:t>
      </w:r>
    </w:p>
    <w:p>
      <w:pPr>
        <w:pStyle w:val="ListBullet"/>
      </w:pPr>
      <w:r>
        <w:t>ECO-PPA — механизм мобилизации государственных и частных ресурсов.</w:t>
      </w:r>
    </w:p>
    <w:p>
      <w:pPr>
        <w:pStyle w:val="ListBullet"/>
      </w:pPr>
      <w:r>
        <w:t>СПЕЦЗАЩИТА — кооперационный исполнительный контур.</w:t>
      </w:r>
    </w:p>
    <w:p>
      <w:r>
        <w:rPr>
          <w:b/>
        </w:rPr>
        <w:t>угроза или проблема → анализ → проект институционального решения → мобилизация ресурсов → исполнение → измерение результата → корректировка</w:t>
      </w:r>
    </w:p>
    <w:p>
      <w:pPr>
        <w:pStyle w:val="Heading1"/>
      </w:pPr>
      <w:r>
        <w:t>21. Концепция институционального конструктора</w:t>
      </w:r>
    </w:p>
    <w:p>
      <w:r>
        <w:t>Цифровой «Институциональный конструктор» должен переводить сформулированную задачу в готовую модель института.</w:t>
      </w:r>
    </w:p>
    <w:p>
      <w:pPr>
        <w:pStyle w:val="ListBullet"/>
      </w:pPr>
      <w:r>
        <w:t>необходимые институты;</w:t>
      </w:r>
    </w:p>
    <w:p>
      <w:pPr>
        <w:pStyle w:val="ListBullet"/>
      </w:pPr>
      <w:r>
        <w:t>участники;</w:t>
      </w:r>
    </w:p>
    <w:p>
      <w:pPr>
        <w:pStyle w:val="ListBullet"/>
      </w:pPr>
      <w:r>
        <w:t>полномочия;</w:t>
      </w:r>
    </w:p>
    <w:p>
      <w:pPr>
        <w:pStyle w:val="ListBullet"/>
      </w:pPr>
      <w:r>
        <w:t>нормативная база;</w:t>
      </w:r>
    </w:p>
    <w:p>
      <w:pPr>
        <w:pStyle w:val="ListBullet"/>
      </w:pPr>
      <w:r>
        <w:t>источники финансирования;</w:t>
      </w:r>
    </w:p>
    <w:p>
      <w:pPr>
        <w:pStyle w:val="ListBullet"/>
      </w:pPr>
      <w:r>
        <w:t>механизм ответственности;</w:t>
      </w:r>
    </w:p>
    <w:p>
      <w:pPr>
        <w:pStyle w:val="ListBullet"/>
      </w:pPr>
      <w:r>
        <w:t>показатели результата;</w:t>
      </w:r>
    </w:p>
    <w:p>
      <w:pPr>
        <w:pStyle w:val="ListBullet"/>
      </w:pPr>
      <w:r>
        <w:t>риски;</w:t>
      </w:r>
    </w:p>
    <w:p>
      <w:pPr>
        <w:pStyle w:val="ListBullet"/>
      </w:pPr>
      <w:r>
        <w:t>цифровая инфраструктура.</w:t>
      </w:r>
    </w:p>
    <w:p>
      <w:pPr>
        <w:pStyle w:val="Heading1"/>
      </w:pPr>
      <w:r>
        <w:t>22. Главный принцип</w:t>
      </w:r>
    </w:p>
    <w:p>
      <w:r>
        <w:t>Будущее государственного управления заключается не в увеличении количества органов управления, а в повышении качества их взаимодействия.</w:t>
      </w:r>
    </w:p>
    <w:p>
      <w:r>
        <w:rPr>
          <w:b/>
        </w:rPr>
        <w:t>ИАЦ должен проектировать не новую бюрократию, а новую архитектуру связности.</w:t>
      </w:r>
    </w:p>
    <w:p>
      <w:pPr>
        <w:pStyle w:val="Heading1"/>
      </w:pPr>
      <w:r>
        <w:t>23. Итоговая модель</w:t>
      </w:r>
    </w:p>
    <w:p>
      <w:r>
        <w:t>ИАЦ «ЭКВИЛИБРИУМ» может стать центром стратегического мышления, институционального проектирования и накопления социального капитала государства.</w:t>
      </w:r>
    </w:p>
    <w:p>
      <w:r>
        <w:t>Его конечная цель — создание устойчивого государства, в котором право, экономика, технологии, общество, институты и стратегическое управление действуют как согласованная система.</w:t>
      </w:r>
    </w:p>
    <w:p>
      <w:r>
        <w:rPr>
          <w:b/>
        </w:rPr>
        <w:t>Сильное государство = сильные институты + высокий социальный капитал + качественная кооперация + долгосрочное стратегическое мышление + измеримая эффективность.</w:t>
      </w:r>
    </w:p>
    <w:sectPr w:rsidR="00FC693F" w:rsidRPr="0006063C" w:rsidSect="00034616">
      <w:footerReference w:type="default" r:id="rId9"/>
      <w:pgSz w:w="12240" w:h="15840"/>
      <w:pgMar w:top="1020" w:right="102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ИАЦ «ЭКВИЛИБРИУМ» • Социальный капитал и институциональное проектирование • </w:t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 w:eastAsia="Aptos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