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60"/>
        <w:jc w:val="center"/>
      </w:pPr>
      <w:r>
        <w:rPr>
          <w:rFonts w:ascii="Aptos Display" w:hAnsi="Aptos Display" w:eastAsia="Aptos Display" w:cs="Aptos Display"/>
          <w:b/>
          <w:color w:val="172D49"/>
          <w:sz w:val="60"/>
        </w:rPr>
        <w:t>ГОСУДАРСТВЕННАЯ ПРОГРАММА</w:t>
        <w:br/>
        <w:t>«ОГОНЬ»</w:t>
      </w:r>
    </w:p>
    <w:p>
      <w:pPr>
        <w:jc w:val="center"/>
      </w:pPr>
      <w:r>
        <w:rPr>
          <w:rFonts w:ascii="Aptos" w:hAnsi="Aptos" w:eastAsia="Aptos" w:cs="Aptos"/>
          <w:color w:val="E06C2D"/>
          <w:sz w:val="28"/>
        </w:rPr>
        <w:t>Система общественно полезного действия, добровольного участия,</w:t>
        <w:br/>
        <w:t>передачи знания и измеримого социального результата</w:t>
      </w:r>
    </w:p>
    <w:p>
      <w:pPr>
        <w:spacing w:before="700"/>
        <w:jc w:val="center"/>
      </w:pPr>
      <w:r>
        <w:rPr>
          <w:rFonts w:ascii="Aptos" w:hAnsi="Aptos" w:eastAsia="Aptos" w:cs="Aptos"/>
          <w:b/>
          <w:color w:val="5A626C"/>
          <w:sz w:val="20"/>
        </w:rPr>
        <w:t>КОНЦЕПТУАЛЬНЫЙ ПРОЕКТ ДЛЯ ОБСУЖДЕНИЯ И ПИЛОТИРОВАНИЯ</w:t>
      </w:r>
    </w:p>
    <w:p>
      <w:pPr>
        <w:jc w:val="center"/>
      </w:pPr>
      <w:r>
        <w:rPr>
          <w:rFonts w:ascii="Aptos" w:hAnsi="Aptos" w:eastAsia="Aptos" w:cs="Aptos"/>
          <w:color w:val="5A626C"/>
          <w:sz w:val="20"/>
        </w:rPr>
        <w:t>Редакция 1.0 • 24 августа 2026 года</w:t>
      </w:r>
    </w:p>
    <w:p>
      <w:r>
        <w:rPr>
          <w:rFonts w:ascii="Aptos" w:hAnsi="Aptos" w:eastAsia="Aptos" w:cs="Aptos"/>
        </w:rPr>
        <w:br w:type="page"/>
      </w:r>
    </w:p>
    <w:p>
      <w:pPr>
        <w:pStyle w:val="Heading1"/>
      </w:pPr>
      <w:r>
        <w:rPr>
          <w:rFonts w:ascii="Aptos" w:hAnsi="Aptos" w:eastAsia="Aptos" w:cs="Aptos"/>
        </w:rPr>
        <w:t>1. Статус документа</w:t>
      </w:r>
    </w:p>
    <w:p>
      <w:r>
        <w:rPr>
          <w:rFonts w:ascii="Aptos" w:hAnsi="Aptos" w:eastAsia="Aptos" w:cs="Aptos"/>
          <w:b/>
        </w:rPr>
        <w:t xml:space="preserve">Настоящий материал является проектом концепции государственной программы Российской Федерации «ОГОНЬ» и не является нормативным правовым актом, утверждённой государственной программой или официальной позицией органа государственной власти. </w:t>
      </w:r>
      <w:r>
        <w:rPr>
          <w:rFonts w:ascii="Aptos" w:hAnsi="Aptos" w:eastAsia="Aptos" w:cs="Aptos"/>
        </w:rPr>
        <w:t>Документ предназначен для предпроектного обсуждения, формирования пилота и последующей правовой, финансовой и организационной проработки.</w:t>
      </w:r>
    </w:p>
    <w:p>
      <w:pPr>
        <w:pStyle w:val="Heading1"/>
      </w:pPr>
      <w:r>
        <w:rPr>
          <w:rFonts w:ascii="Aptos" w:hAnsi="Aptos" w:eastAsia="Aptos" w:cs="Aptos"/>
        </w:rPr>
        <w:t>2. Краткое резюме</w:t>
      </w:r>
    </w:p>
    <w:p>
      <w:r>
        <w:rPr>
          <w:rFonts w:ascii="Aptos" w:hAnsi="Aptos" w:eastAsia="Aptos" w:cs="Aptos"/>
        </w:rPr>
        <w:t>«ОГОНЬ» — добровольная государственно-общественная система, переводящая общественно полезные инициативы, наставничество, помощь, экологические и культурные практики из разрозненных акций в измеримый цикл: задача → действие → подтверждение результата → передача опыта → масштабирование.</w:t>
      </w:r>
    </w:p>
    <w:p>
      <w:r>
        <w:rPr>
          <w:rFonts w:ascii="Aptos" w:hAnsi="Aptos" w:eastAsia="Aptos" w:cs="Aptos"/>
        </w:rPr>
        <w:t>В цифровом контуре «ОГОНЬ» предлагается использовать не как деньги и не как обязательный рейтинг граждан, а как непередаваемый и непокупаемый знак подтверждённого участия в конкретных программах и проектах.</w:t>
      </w:r>
    </w:p>
    <w:p>
      <w:r>
        <w:rPr>
          <w:rFonts w:ascii="Aptos" w:hAnsi="Aptos" w:eastAsia="Aptos" w:cs="Aptos"/>
        </w:rPr>
        <w:t>Программа ориентирована на усиление уже действующих механизмов добровольчества, образования, социального служения, местных инициатив, проектной деятельности и государственно-общественного партнёрства, а не на их замену.</w:t>
      </w:r>
    </w:p>
    <w:p>
      <w:pPr>
        <w:pStyle w:val="Heading1"/>
      </w:pPr>
      <w:r>
        <w:rPr>
          <w:rFonts w:ascii="Aptos" w:hAnsi="Aptos" w:eastAsia="Aptos" w:cs="Aptos"/>
        </w:rPr>
        <w:t>3. Паспорт программы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99"/>
        <w:gridCol w:w="5099"/>
      </w:tblGrid>
      <w:tr>
        <w:trPr>
          <w:tblHeader w:val="true"/>
          <w:cantSplit/>
        </w:trPr>
        <w:tc>
          <w:tcPr>
            <w:tcW w:type="dxa" w:w="5099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Параметр</w:t>
            </w:r>
          </w:p>
        </w:tc>
        <w:tc>
          <w:tcPr>
            <w:tcW w:type="dxa" w:w="5099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Наименование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Государственная программа Российской Федерации «ОГОНЬ»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Статус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Концептуальный проект для пилотирования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Миссия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Превращение знания, памяти, ответственности и гражданской инициативы в добровольные подтверждённые действия с измеримым общественным результатом.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Горизонт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Пилот 2027–2028; масштабирование 2029–2032; оценка и корректировка по итогам каждого этапа.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Предлагаемый куратор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Определяется Правительством Российской Федерации в установленном порядке.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Предлагаемый ответственный исполнитель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Определяется после межведомственной проработки; возможна межведомственная модель с участием профильных федеральных органов исполнительной власти.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Участники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Федеральные и региональные органы власти, муниципалитеты, образовательные и научные организации, НКО, добровольческие объединения, бизнес, учреждения культуры, граждане.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Целевые группы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Граждане, молодёжь, наставники, добровольцы, семьи, местные сообщества, социально ориентированные НКО, организации-работодатели.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Ключевой цифровой контур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Платформа «ОГОНЬ»: задания, доказательства результата, верификация, карта инициатив, аналитика, API-интеграции.</w:t>
            </w:r>
          </w:p>
        </w:tc>
      </w:tr>
      <w:tr>
        <w:trPr>
          <w:cantSplit/>
        </w:trPr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Главный принцип</w:t>
            </w:r>
          </w:p>
        </w:tc>
        <w:tc>
          <w:tcPr>
            <w:tcW w:type="dxa" w:w="5099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ptos" w:hAnsi="Aptos" w:eastAsia="Aptos" w:cs="Aptos"/>
              </w:rPr>
              <w:t>Добровольность, недискриминация, минимизация данных, подтверждаемость результата, прозрачность правил.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4. Стратегические приоритеты</w:t>
      </w:r>
    </w:p>
    <w:p>
      <w:pPr>
        <w:ind w:left="227"/>
      </w:pPr>
      <w:r>
        <w:rPr>
          <w:rFonts w:ascii="Aptos" w:hAnsi="Aptos" w:eastAsia="Aptos" w:cs="Aptos"/>
          <w:b/>
          <w:color w:val="172D49"/>
        </w:rPr>
        <w:t xml:space="preserve">Переход от участия к результату: </w:t>
      </w:r>
      <w:r>
        <w:rPr>
          <w:rFonts w:ascii="Aptos" w:hAnsi="Aptos" w:eastAsia="Aptos" w:cs="Aptos"/>
        </w:rPr>
        <w:t>Поддержка инициатив, где результат можно описать, проверить и повторить.</w:t>
      </w:r>
    </w:p>
    <w:p>
      <w:pPr>
        <w:ind w:left="227"/>
      </w:pPr>
      <w:r>
        <w:rPr>
          <w:rFonts w:ascii="Aptos" w:hAnsi="Aptos" w:eastAsia="Aptos" w:cs="Aptos"/>
          <w:b/>
          <w:color w:val="172D49"/>
        </w:rPr>
        <w:t xml:space="preserve">Эстафета знания: </w:t>
      </w:r>
      <w:r>
        <w:rPr>
          <w:rFonts w:ascii="Aptos" w:hAnsi="Aptos" w:eastAsia="Aptos" w:cs="Aptos"/>
        </w:rPr>
        <w:t>Каждое успешное действие сопровождается передачей метода, навыка или инструкции следующему участнику.</w:t>
      </w:r>
    </w:p>
    <w:p>
      <w:pPr>
        <w:ind w:left="227"/>
      </w:pPr>
      <w:r>
        <w:rPr>
          <w:rFonts w:ascii="Aptos" w:hAnsi="Aptos" w:eastAsia="Aptos" w:cs="Aptos"/>
          <w:b/>
          <w:color w:val="172D49"/>
        </w:rPr>
        <w:t xml:space="preserve">Связь поколений: </w:t>
      </w:r>
      <w:r>
        <w:rPr>
          <w:rFonts w:ascii="Aptos" w:hAnsi="Aptos" w:eastAsia="Aptos" w:cs="Aptos"/>
        </w:rPr>
        <w:t>Память, культурное наследие и общественная солидарность переводятся в современные практики служения и наставничества.</w:t>
      </w:r>
    </w:p>
    <w:p>
      <w:pPr>
        <w:ind w:left="227"/>
      </w:pPr>
      <w:r>
        <w:rPr>
          <w:rFonts w:ascii="Aptos" w:hAnsi="Aptos" w:eastAsia="Aptos" w:cs="Aptos"/>
          <w:b/>
          <w:color w:val="172D49"/>
        </w:rPr>
        <w:t xml:space="preserve">Цифровая доказательность: </w:t>
      </w:r>
      <w:r>
        <w:rPr>
          <w:rFonts w:ascii="Aptos" w:hAnsi="Aptos" w:eastAsia="Aptos" w:cs="Aptos"/>
        </w:rPr>
        <w:t>События и результаты фиксируются с минимально достаточным объёмом данных, без избыточного наблюдения за гражданами.</w:t>
      </w:r>
    </w:p>
    <w:p>
      <w:pPr>
        <w:ind w:left="227"/>
      </w:pPr>
      <w:r>
        <w:rPr>
          <w:rFonts w:ascii="Aptos" w:hAnsi="Aptos" w:eastAsia="Aptos" w:cs="Aptos"/>
          <w:b/>
          <w:color w:val="172D49"/>
        </w:rPr>
        <w:t xml:space="preserve">Масштабирование лучшего: </w:t>
      </w:r>
      <w:r>
        <w:rPr>
          <w:rFonts w:ascii="Aptos" w:hAnsi="Aptos" w:eastAsia="Aptos" w:cs="Aptos"/>
        </w:rPr>
        <w:t>Проверенные практики получают механизм тиражирования между территориями, учреждениями и сообществами.</w:t>
      </w:r>
    </w:p>
    <w:p>
      <w:pPr>
        <w:pStyle w:val="Heading1"/>
      </w:pPr>
      <w:r>
        <w:rPr>
          <w:rFonts w:ascii="Aptos" w:hAnsi="Aptos" w:eastAsia="Aptos" w:cs="Aptos"/>
        </w:rPr>
        <w:t>5. Проблема, на которую отвечает программа</w:t>
      </w:r>
    </w:p>
    <w:p>
      <w:pPr>
        <w:pStyle w:val="ListBullet"/>
      </w:pPr>
      <w:r>
        <w:rPr>
          <w:rFonts w:ascii="Aptos" w:hAnsi="Aptos" w:eastAsia="Aptos" w:cs="Aptos"/>
        </w:rPr>
        <w:t>разрозненность добровольческих, образовательных, культурных и локальных инициатив;</w:t>
      </w:r>
    </w:p>
    <w:p>
      <w:pPr>
        <w:pStyle w:val="ListBullet"/>
      </w:pPr>
      <w:r>
        <w:rPr>
          <w:rFonts w:ascii="Aptos" w:hAnsi="Aptos" w:eastAsia="Aptos" w:cs="Aptos"/>
        </w:rPr>
        <w:t>преобладание количественной отчётности над доказательством реального эффекта;</w:t>
      </w:r>
    </w:p>
    <w:p>
      <w:pPr>
        <w:pStyle w:val="ListBullet"/>
      </w:pPr>
      <w:r>
        <w:rPr>
          <w:rFonts w:ascii="Aptos" w:hAnsi="Aptos" w:eastAsia="Aptos" w:cs="Aptos"/>
        </w:rPr>
        <w:t>слабая передача успешных практик между сообществами и территориями;</w:t>
      </w:r>
    </w:p>
    <w:p>
      <w:pPr>
        <w:pStyle w:val="ListBullet"/>
      </w:pPr>
      <w:r>
        <w:rPr>
          <w:rFonts w:ascii="Aptos" w:hAnsi="Aptos" w:eastAsia="Aptos" w:cs="Aptos"/>
        </w:rPr>
        <w:t>недостаточная связка гражданской инициативы, наставничества и проектной экономики;</w:t>
      </w:r>
    </w:p>
    <w:p>
      <w:pPr>
        <w:pStyle w:val="ListBullet"/>
      </w:pPr>
      <w:r>
        <w:rPr>
          <w:rFonts w:ascii="Aptos" w:hAnsi="Aptos" w:eastAsia="Aptos" w:cs="Aptos"/>
        </w:rPr>
        <w:t>дефицит удобного механизма, позволяющего видеть не только факт участия, но и результат, воспроизводимость и дальнейшую передачу опыта.</w:t>
      </w:r>
    </w:p>
    <w:p>
      <w:pPr>
        <w:pStyle w:val="Heading1"/>
      </w:pPr>
      <w:r>
        <w:rPr>
          <w:rFonts w:ascii="Aptos" w:hAnsi="Aptos" w:eastAsia="Aptos" w:cs="Aptos"/>
        </w:rPr>
        <w:t>6. Цель и задачи программы</w:t>
      </w:r>
    </w:p>
    <w:p>
      <w:r>
        <w:rPr>
          <w:rFonts w:ascii="Aptos" w:hAnsi="Aptos" w:eastAsia="Aptos" w:cs="Aptos"/>
          <w:b/>
          <w:color w:val="E06C2D"/>
        </w:rPr>
        <w:t xml:space="preserve">Цель: </w:t>
      </w:r>
      <w:r>
        <w:rPr>
          <w:rFonts w:ascii="Aptos" w:hAnsi="Aptos" w:eastAsia="Aptos" w:cs="Aptos"/>
        </w:rPr>
        <w:t>создать национальный добровольный контур общественно полезного действия, в котором гражданин, организация и территория могут инициировать, выполнить, подтвердить и передать практику, имеющую измеримый общественный эффект.</w:t>
      </w:r>
    </w:p>
    <w:p>
      <w:pPr>
        <w:pStyle w:val="ListNumber"/>
      </w:pPr>
      <w:r>
        <w:rPr>
          <w:rFonts w:ascii="Aptos" w:hAnsi="Aptos" w:eastAsia="Aptos" w:cs="Aptos"/>
        </w:rPr>
        <w:t>сформировать единый стандарт жизненного цикла общественно полезного события;</w:t>
      </w:r>
    </w:p>
    <w:p>
      <w:pPr>
        <w:pStyle w:val="ListNumber"/>
      </w:pPr>
      <w:r>
        <w:rPr>
          <w:rFonts w:ascii="Aptos" w:hAnsi="Aptos" w:eastAsia="Aptos" w:cs="Aptos"/>
        </w:rPr>
        <w:t>создать безопасную цифровую инфраструктуру фиксации и верификации результатов;</w:t>
      </w:r>
    </w:p>
    <w:p>
      <w:pPr>
        <w:pStyle w:val="ListNumber"/>
      </w:pPr>
      <w:r>
        <w:rPr>
          <w:rFonts w:ascii="Aptos" w:hAnsi="Aptos" w:eastAsia="Aptos" w:cs="Aptos"/>
        </w:rPr>
        <w:t>разработать сеть наставников и координаторов «Эстафеты Огня»;</w:t>
      </w:r>
    </w:p>
    <w:p>
      <w:pPr>
        <w:pStyle w:val="ListNumber"/>
      </w:pPr>
      <w:r>
        <w:rPr>
          <w:rFonts w:ascii="Aptos" w:hAnsi="Aptos" w:eastAsia="Aptos" w:cs="Aptos"/>
        </w:rPr>
        <w:t>создать календарь 365 событий и тематические циклы для территорий и организаций;</w:t>
      </w:r>
    </w:p>
    <w:p>
      <w:pPr>
        <w:pStyle w:val="ListNumber"/>
      </w:pPr>
      <w:r>
        <w:rPr>
          <w:rFonts w:ascii="Aptos" w:hAnsi="Aptos" w:eastAsia="Aptos" w:cs="Aptos"/>
        </w:rPr>
        <w:t>обеспечить интеграцию с образовательными, культурными, экологическими и социальными программами;</w:t>
      </w:r>
    </w:p>
    <w:p>
      <w:pPr>
        <w:pStyle w:val="ListNumber"/>
      </w:pPr>
      <w:r>
        <w:rPr>
          <w:rFonts w:ascii="Aptos" w:hAnsi="Aptos" w:eastAsia="Aptos" w:cs="Aptos"/>
        </w:rPr>
        <w:t>ввести систему независимой оценки эффективности и антифрода;</w:t>
      </w:r>
    </w:p>
    <w:p>
      <w:pPr>
        <w:pStyle w:val="ListNumber"/>
      </w:pPr>
      <w:r>
        <w:rPr>
          <w:rFonts w:ascii="Aptos" w:hAnsi="Aptos" w:eastAsia="Aptos" w:cs="Aptos"/>
        </w:rPr>
        <w:t>сформировать механизм масштабирования лучших практик и межрегионального обмена.</w:t>
      </w:r>
    </w:p>
    <w:p>
      <w:pPr>
        <w:pStyle w:val="Heading1"/>
      </w:pPr>
      <w:r>
        <w:rPr>
          <w:rFonts w:ascii="Aptos" w:hAnsi="Aptos" w:eastAsia="Aptos" w:cs="Aptos"/>
        </w:rPr>
        <w:t>7. Принципы программы</w:t>
      </w:r>
    </w:p>
    <w:p>
      <w:r>
        <w:rPr>
          <w:rFonts w:ascii="Aptos" w:hAnsi="Aptos" w:eastAsia="Aptos" w:cs="Aptos"/>
          <w:b/>
        </w:rPr>
        <w:t xml:space="preserve">Добровольность. </w:t>
      </w:r>
      <w:r>
        <w:rPr>
          <w:rFonts w:ascii="Aptos" w:hAnsi="Aptos" w:eastAsia="Aptos" w:cs="Aptos"/>
        </w:rPr>
        <w:t>участие гражданина не может быть условием доступа к базовым правам, государственным услугам, медицинской помощи, образованию или социальной защите.</w:t>
      </w:r>
    </w:p>
    <w:p>
      <w:r>
        <w:rPr>
          <w:rFonts w:ascii="Aptos" w:hAnsi="Aptos" w:eastAsia="Aptos" w:cs="Aptos"/>
          <w:b/>
        </w:rPr>
        <w:t xml:space="preserve">Недискриминация. </w:t>
      </w:r>
      <w:r>
        <w:rPr>
          <w:rFonts w:ascii="Aptos" w:hAnsi="Aptos" w:eastAsia="Aptos" w:cs="Aptos"/>
        </w:rPr>
        <w:t>показатели участия не используются как универсальный социальный рейтинг и не служат основанием для автоматического ограничения прав.</w:t>
      </w:r>
    </w:p>
    <w:p>
      <w:r>
        <w:rPr>
          <w:rFonts w:ascii="Aptos" w:hAnsi="Aptos" w:eastAsia="Aptos" w:cs="Aptos"/>
          <w:b/>
        </w:rPr>
        <w:t xml:space="preserve">Необоротность знака ОГОНЬ. </w:t>
      </w:r>
      <w:r>
        <w:rPr>
          <w:rFonts w:ascii="Aptos" w:hAnsi="Aptos" w:eastAsia="Aptos" w:cs="Aptos"/>
        </w:rPr>
        <w:t>знак участия нельзя купить, продать, обменять на деньги или передать другому лицу.</w:t>
      </w:r>
    </w:p>
    <w:p>
      <w:r>
        <w:rPr>
          <w:rFonts w:ascii="Aptos" w:hAnsi="Aptos" w:eastAsia="Aptos" w:cs="Aptos"/>
          <w:b/>
        </w:rPr>
        <w:t xml:space="preserve">Проверяемость. </w:t>
      </w:r>
      <w:r>
        <w:rPr>
          <w:rFonts w:ascii="Aptos" w:hAnsi="Aptos" w:eastAsia="Aptos" w:cs="Aptos"/>
        </w:rPr>
        <w:t>начисление знака и учёт результата возможны только по прозрачным правилам верификации.</w:t>
      </w:r>
    </w:p>
    <w:p>
      <w:r>
        <w:rPr>
          <w:rFonts w:ascii="Aptos" w:hAnsi="Aptos" w:eastAsia="Aptos" w:cs="Aptos"/>
          <w:b/>
        </w:rPr>
        <w:t xml:space="preserve">Минимизация данных. </w:t>
      </w:r>
      <w:r>
        <w:rPr>
          <w:rFonts w:ascii="Aptos" w:hAnsi="Aptos" w:eastAsia="Aptos" w:cs="Aptos"/>
        </w:rPr>
        <w:t>система собирает только данные, необходимые для выполнения конкретной функции.</w:t>
      </w:r>
    </w:p>
    <w:p>
      <w:r>
        <w:rPr>
          <w:rFonts w:ascii="Aptos" w:hAnsi="Aptos" w:eastAsia="Aptos" w:cs="Aptos"/>
          <w:b/>
        </w:rPr>
        <w:t xml:space="preserve">Человек в контуре решения. </w:t>
      </w:r>
      <w:r>
        <w:rPr>
          <w:rFonts w:ascii="Aptos" w:hAnsi="Aptos" w:eastAsia="Aptos" w:cs="Aptos"/>
        </w:rPr>
        <w:t>значимые решения о спорном результате, санкциях или исключении из программы не принимаются исключительно алгоритмом.</w:t>
      </w:r>
    </w:p>
    <w:p>
      <w:r>
        <w:rPr>
          <w:rFonts w:ascii="Aptos" w:hAnsi="Aptos" w:eastAsia="Aptos" w:cs="Aptos"/>
          <w:b/>
        </w:rPr>
        <w:t xml:space="preserve">Открытость методики. </w:t>
      </w:r>
      <w:r>
        <w:rPr>
          <w:rFonts w:ascii="Aptos" w:hAnsi="Aptos" w:eastAsia="Aptos" w:cs="Aptos"/>
        </w:rPr>
        <w:t>критерии, показатели, правила верификации и процедуры обжалования публикуются.</w:t>
      </w:r>
    </w:p>
    <w:p>
      <w:r>
        <w:rPr>
          <w:rFonts w:ascii="Aptos" w:hAnsi="Aptos" w:eastAsia="Aptos" w:cs="Aptos"/>
          <w:b/>
        </w:rPr>
        <w:t xml:space="preserve">Федеративность. </w:t>
      </w:r>
      <w:r>
        <w:rPr>
          <w:rFonts w:ascii="Aptos" w:hAnsi="Aptos" w:eastAsia="Aptos" w:cs="Aptos"/>
        </w:rPr>
        <w:t>общий стандарт сочетается с региональными и муниципальными сценариями.</w:t>
      </w:r>
    </w:p>
    <w:p>
      <w:pPr>
        <w:pStyle w:val="Heading1"/>
      </w:pPr>
      <w:r>
        <w:rPr>
          <w:rFonts w:ascii="Aptos" w:hAnsi="Aptos" w:eastAsia="Aptos" w:cs="Aptos"/>
        </w:rPr>
        <w:t>8. Пять программных полей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  <w:cantSplit/>
        </w:trPr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Поле</w:t>
            </w:r>
          </w:p>
        </w:tc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Назначение</w:t>
            </w:r>
          </w:p>
        </w:tc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Примеры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ОГОНЬ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действие и ответственность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добровольчество, наставничество, помощь, лидерство, эстафеты действия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ВОДА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жизнь и восстановление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экология, здоровье среды, восстановительные практики, забота о территориях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ВОЗДУХ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знание и коммуникация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образование, просвещение, научпоп, медиаграмотность, передача навыков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ЗЕМЛЯ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труд и наследие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локальные проекты, благоустройство, ремесло, культура, материальное наследие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ЭФИР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координация и смысл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межведомственная синхронизация, аналитика, календарь событий, карта эффектов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9. Протокол «Эстафета Огня»</w:t>
      </w:r>
    </w:p>
    <w:p>
      <w:r>
        <w:rPr>
          <w:rFonts w:ascii="Aptos" w:hAnsi="Aptos" w:eastAsia="Aptos" w:cs="Aptos"/>
          <w:b/>
          <w:color w:val="E06C2D"/>
        </w:rPr>
        <w:t xml:space="preserve">1. Вызов — </w:t>
      </w:r>
      <w:r>
        <w:rPr>
          <w:rFonts w:ascii="Aptos" w:hAnsi="Aptos" w:eastAsia="Aptos" w:cs="Aptos"/>
        </w:rPr>
        <w:t>формулируется конкретная общественно полезная задача и ожидаемый результат.</w:t>
      </w:r>
    </w:p>
    <w:p>
      <w:r>
        <w:rPr>
          <w:rFonts w:ascii="Aptos" w:hAnsi="Aptos" w:eastAsia="Aptos" w:cs="Aptos"/>
          <w:b/>
          <w:color w:val="E06C2D"/>
        </w:rPr>
        <w:t xml:space="preserve">2. Принятие — </w:t>
      </w:r>
      <w:r>
        <w:rPr>
          <w:rFonts w:ascii="Aptos" w:hAnsi="Aptos" w:eastAsia="Aptos" w:cs="Aptos"/>
        </w:rPr>
        <w:t>участник добровольно выбирает задачу и подтверждает готовность выполнить её.</w:t>
      </w:r>
    </w:p>
    <w:p>
      <w:r>
        <w:rPr>
          <w:rFonts w:ascii="Aptos" w:hAnsi="Aptos" w:eastAsia="Aptos" w:cs="Aptos"/>
          <w:b/>
          <w:color w:val="E06C2D"/>
        </w:rPr>
        <w:t xml:space="preserve">3. Действие — </w:t>
      </w:r>
      <w:r>
        <w:rPr>
          <w:rFonts w:ascii="Aptos" w:hAnsi="Aptos" w:eastAsia="Aptos" w:cs="Aptos"/>
        </w:rPr>
        <w:t>выполняется работа, помощь, обучение или иной утверждённый формат.</w:t>
      </w:r>
    </w:p>
    <w:p>
      <w:r>
        <w:rPr>
          <w:rFonts w:ascii="Aptos" w:hAnsi="Aptos" w:eastAsia="Aptos" w:cs="Aptos"/>
          <w:b/>
          <w:color w:val="E06C2D"/>
        </w:rPr>
        <w:t xml:space="preserve">4. Доказательство — </w:t>
      </w:r>
      <w:r>
        <w:rPr>
          <w:rFonts w:ascii="Aptos" w:hAnsi="Aptos" w:eastAsia="Aptos" w:cs="Aptos"/>
        </w:rPr>
        <w:t>фиксируется минимально достаточное подтверждение результата.</w:t>
      </w:r>
    </w:p>
    <w:p>
      <w:r>
        <w:rPr>
          <w:rFonts w:ascii="Aptos" w:hAnsi="Aptos" w:eastAsia="Aptos" w:cs="Aptos"/>
          <w:b/>
          <w:color w:val="E06C2D"/>
        </w:rPr>
        <w:t xml:space="preserve">5. Верификация — </w:t>
      </w:r>
      <w:r>
        <w:rPr>
          <w:rFonts w:ascii="Aptos" w:hAnsi="Aptos" w:eastAsia="Aptos" w:cs="Aptos"/>
        </w:rPr>
        <w:t>результат проверяется по заранее известной процедуре.</w:t>
      </w:r>
    </w:p>
    <w:p>
      <w:r>
        <w:rPr>
          <w:rFonts w:ascii="Aptos" w:hAnsi="Aptos" w:eastAsia="Aptos" w:cs="Aptos"/>
          <w:b/>
          <w:color w:val="E06C2D"/>
        </w:rPr>
        <w:t xml:space="preserve">6. Передача — </w:t>
      </w:r>
      <w:r>
        <w:rPr>
          <w:rFonts w:ascii="Aptos" w:hAnsi="Aptos" w:eastAsia="Aptos" w:cs="Aptos"/>
        </w:rPr>
        <w:t>участник передаёт знание, инструкцию или приглашение следующему участнику.</w:t>
      </w:r>
    </w:p>
    <w:p>
      <w:r>
        <w:rPr>
          <w:rFonts w:ascii="Aptos" w:hAnsi="Aptos" w:eastAsia="Aptos" w:cs="Aptos"/>
          <w:b/>
          <w:color w:val="E06C2D"/>
        </w:rPr>
        <w:t xml:space="preserve">7. Масштабирование — </w:t>
      </w:r>
      <w:r>
        <w:rPr>
          <w:rFonts w:ascii="Aptos" w:hAnsi="Aptos" w:eastAsia="Aptos" w:cs="Aptos"/>
        </w:rPr>
        <w:t>успешный кейс попадает в библиотеку практик и может быть тиражирован.</w:t>
      </w:r>
    </w:p>
    <w:p>
      <w:pPr>
        <w:pStyle w:val="Heading1"/>
      </w:pPr>
      <w:r>
        <w:rPr>
          <w:rFonts w:ascii="Aptos" w:hAnsi="Aptos" w:eastAsia="Aptos" w:cs="Aptos"/>
        </w:rPr>
        <w:t>10. Календарь «365 событий»</w:t>
      </w:r>
    </w:p>
    <w:p>
      <w:r>
        <w:rPr>
          <w:rFonts w:ascii="Aptos" w:hAnsi="Aptos" w:eastAsia="Aptos" w:cs="Aptos"/>
        </w:rPr>
        <w:t>Годовой ритм предлагается строить как 13 циклов по 28 дней плюс День синхронизации. Это не обязательный календарь для каждого гражданина, а конструктор для учреждений, регионов, сообществ и добровольных команд.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  <w:cantSplit/>
        </w:trPr>
        <w:tc>
          <w:tcPr>
            <w:tcW w:type="dxa" w:w="255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№</w:t>
            </w:r>
          </w:p>
        </w:tc>
        <w:tc>
          <w:tcPr>
            <w:tcW w:type="dxa" w:w="255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Цикл</w:t>
            </w:r>
          </w:p>
        </w:tc>
        <w:tc>
          <w:tcPr>
            <w:tcW w:type="dxa" w:w="255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Фокус</w:t>
            </w:r>
          </w:p>
        </w:tc>
        <w:tc>
          <w:tcPr>
            <w:tcW w:type="dxa" w:w="255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Пример результата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1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Пробуждение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первое действие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первый подтверждённый кейс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2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Дисциплина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регулярность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серия действий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3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Знание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обучение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переданный навык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4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Практика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применение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решённая задача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5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Служение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общественная польза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помощь получателю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6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Связи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кооперация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созданная команда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7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Созидание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проект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новая практика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8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Укрепление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устойчивость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повторяемый процесс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9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Передача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наставничество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новый носитель практики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10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Масштаб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тиражирование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новая территория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11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Качество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улучшение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рост эффекта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12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Синхронизация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согласование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межведомственная связка</w:t>
            </w:r>
          </w:p>
        </w:tc>
      </w:tr>
      <w:tr>
        <w:trPr>
          <w:cantSplit/>
        </w:trPr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13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Возврат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рефлексия</w:t>
            </w:r>
          </w:p>
        </w:tc>
        <w:tc>
          <w:tcPr>
            <w:tcW w:type="dxa" w:w="2550"/>
          </w:tcPr>
          <w:p>
            <w:r>
              <w:rPr>
                <w:rFonts w:ascii="Aptos" w:hAnsi="Aptos" w:eastAsia="Aptos" w:cs="Aptos"/>
              </w:rPr>
              <w:t>обновлённый стандарт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11. Специальный цикл «Огонь. Второе дыхание»</w:t>
      </w:r>
    </w:p>
    <w:p>
      <w:r>
        <w:rPr>
          <w:rFonts w:ascii="Aptos" w:hAnsi="Aptos" w:eastAsia="Aptos" w:cs="Aptos"/>
        </w:rPr>
        <w:t>Специальный общественно-культурный цикл может использоваться для проектов памяти, межпоколенческой связи и добровольческой помощи. Его центральная формула: «Память живёт, пока мы действуем».</w:t>
      </w:r>
    </w:p>
    <w:p>
      <w:pPr>
        <w:pStyle w:val="ListBullet"/>
      </w:pPr>
      <w:r>
        <w:rPr>
          <w:rFonts w:ascii="Aptos" w:hAnsi="Aptos" w:eastAsia="Aptos" w:cs="Aptos"/>
        </w:rPr>
        <w:t>помощь ветеранам, пожилым людям и семьям, нуждающимся в поддержке;</w:t>
      </w:r>
    </w:p>
    <w:p>
      <w:pPr>
        <w:pStyle w:val="ListBullet"/>
      </w:pPr>
      <w:r>
        <w:rPr>
          <w:rFonts w:ascii="Aptos" w:hAnsi="Aptos" w:eastAsia="Aptos" w:cs="Aptos"/>
        </w:rPr>
        <w:t>восстановление и уход за объектами памяти и местными культурными пространствами;</w:t>
      </w:r>
    </w:p>
    <w:p>
      <w:pPr>
        <w:pStyle w:val="ListBullet"/>
      </w:pPr>
      <w:r>
        <w:rPr>
          <w:rFonts w:ascii="Aptos" w:hAnsi="Aptos" w:eastAsia="Aptos" w:cs="Aptos"/>
        </w:rPr>
        <w:t>запись семейных историй и устной памяти с согласия участников;</w:t>
      </w:r>
    </w:p>
    <w:p>
      <w:pPr>
        <w:pStyle w:val="ListBullet"/>
      </w:pPr>
      <w:r>
        <w:rPr>
          <w:rFonts w:ascii="Aptos" w:hAnsi="Aptos" w:eastAsia="Aptos" w:cs="Aptos"/>
        </w:rPr>
        <w:t>наставничество между поколениями;</w:t>
      </w:r>
    </w:p>
    <w:p>
      <w:pPr>
        <w:pStyle w:val="ListBullet"/>
      </w:pPr>
      <w:r>
        <w:rPr>
          <w:rFonts w:ascii="Aptos" w:hAnsi="Aptos" w:eastAsia="Aptos" w:cs="Aptos"/>
        </w:rPr>
        <w:t>добровольческие дела, связанные с сохранением исторической памяти.</w:t>
      </w:r>
    </w:p>
    <w:p>
      <w:pPr>
        <w:pStyle w:val="SmallGray"/>
      </w:pPr>
      <w:r>
        <w:rPr>
          <w:rFonts w:ascii="Aptos" w:hAnsi="Aptos" w:eastAsia="Aptos" w:cs="Aptos"/>
        </w:rPr>
        <w:t>При использовании символики, включая Георгиевскую ленту, необходим отдельный регламент корректного и уважительного применения, исключающий коммерциализацию и формальное «начисление баллов за символ».</w:t>
      </w:r>
    </w:p>
    <w:p>
      <w:pPr>
        <w:pStyle w:val="Heading1"/>
      </w:pPr>
      <w:r>
        <w:rPr>
          <w:rFonts w:ascii="Aptos" w:hAnsi="Aptos" w:eastAsia="Aptos" w:cs="Aptos"/>
        </w:rPr>
        <w:t>12. Цифровой знак «ОГОНЬ»</w:t>
      </w:r>
    </w:p>
    <w:p>
      <w:r>
        <w:rPr>
          <w:rFonts w:ascii="Aptos" w:hAnsi="Aptos" w:eastAsia="Aptos" w:cs="Aptos"/>
        </w:rPr>
        <w:t>В рамках программы предлагается неплатёжный цифровой знак участия. Он подтверждает прохождение конкретного верифицированного цикла и хранит ссылку на тип действия, дату, способ подтверждения и контекст проекта.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99"/>
        <w:gridCol w:w="5099"/>
      </w:tblGrid>
      <w:tr>
        <w:trPr>
          <w:cantSplit/>
        </w:trPr>
        <w:tc>
          <w:tcPr>
            <w:tcW w:type="dxa" w:w="5099"/>
            <w:shd w:fill="E06C2D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Допускается</w:t>
            </w:r>
          </w:p>
        </w:tc>
        <w:tc>
          <w:tcPr>
            <w:tcW w:type="dxa" w:w="5099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Не допускается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подтверждать участие в добровольной программе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продавать или обменивать на деньги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формировать портфолио практик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использовать как обязательный рейтинг гражданина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использовать для отбора в добровольные проектные команды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автоматически ограничивать базовые права или услуги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показывать историю наставничества и передачи знаний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• использовать скрытые алгоритмы для санкций без процедуры обжалования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13. Цифровая платформа</w:t>
      </w:r>
    </w:p>
    <w:p>
      <w:r>
        <w:rPr>
          <w:rFonts w:ascii="Aptos" w:hAnsi="Aptos" w:eastAsia="Aptos" w:cs="Aptos"/>
          <w:b/>
          <w:color w:val="172D49"/>
        </w:rPr>
        <w:t xml:space="preserve">Личный кабинет: </w:t>
      </w:r>
      <w:r>
        <w:rPr>
          <w:rFonts w:ascii="Aptos" w:hAnsi="Aptos" w:eastAsia="Aptos" w:cs="Aptos"/>
        </w:rPr>
        <w:t>добровольный профиль, задания, доказательства, история участия</w:t>
      </w:r>
    </w:p>
    <w:p>
      <w:r>
        <w:rPr>
          <w:rFonts w:ascii="Aptos" w:hAnsi="Aptos" w:eastAsia="Aptos" w:cs="Aptos"/>
          <w:b/>
          <w:color w:val="172D49"/>
        </w:rPr>
        <w:t xml:space="preserve">Каталог задач: </w:t>
      </w:r>
      <w:r>
        <w:rPr>
          <w:rFonts w:ascii="Aptos" w:hAnsi="Aptos" w:eastAsia="Aptos" w:cs="Aptos"/>
        </w:rPr>
        <w:t>общественные, образовательные, экологические, культурные и проектные задачи</w:t>
      </w:r>
    </w:p>
    <w:p>
      <w:r>
        <w:rPr>
          <w:rFonts w:ascii="Aptos" w:hAnsi="Aptos" w:eastAsia="Aptos" w:cs="Aptos"/>
          <w:b/>
          <w:color w:val="172D49"/>
        </w:rPr>
        <w:t xml:space="preserve">Верификация: </w:t>
      </w:r>
      <w:r>
        <w:rPr>
          <w:rFonts w:ascii="Aptos" w:hAnsi="Aptos" w:eastAsia="Aptos" w:cs="Aptos"/>
        </w:rPr>
        <w:t>правила доказательности, подтверждение организатором, выборочная проверка</w:t>
      </w:r>
    </w:p>
    <w:p>
      <w:r>
        <w:rPr>
          <w:rFonts w:ascii="Aptos" w:hAnsi="Aptos" w:eastAsia="Aptos" w:cs="Aptos"/>
          <w:b/>
          <w:color w:val="172D49"/>
        </w:rPr>
        <w:t xml:space="preserve">Библиотека практик: </w:t>
      </w:r>
      <w:r>
        <w:rPr>
          <w:rFonts w:ascii="Aptos" w:hAnsi="Aptos" w:eastAsia="Aptos" w:cs="Aptos"/>
        </w:rPr>
        <w:t>успешные кейсы, инструкции, шаблоны и методики</w:t>
      </w:r>
    </w:p>
    <w:p>
      <w:r>
        <w:rPr>
          <w:rFonts w:ascii="Aptos" w:hAnsi="Aptos" w:eastAsia="Aptos" w:cs="Aptos"/>
          <w:b/>
          <w:color w:val="172D49"/>
        </w:rPr>
        <w:t xml:space="preserve">Карта инициатив: </w:t>
      </w:r>
      <w:r>
        <w:rPr>
          <w:rFonts w:ascii="Aptos" w:hAnsi="Aptos" w:eastAsia="Aptos" w:cs="Aptos"/>
        </w:rPr>
        <w:t>агрегированное представление активности территорий без раскрытия лишних персональных данных</w:t>
      </w:r>
    </w:p>
    <w:p>
      <w:r>
        <w:rPr>
          <w:rFonts w:ascii="Aptos" w:hAnsi="Aptos" w:eastAsia="Aptos" w:cs="Aptos"/>
          <w:b/>
          <w:color w:val="172D49"/>
        </w:rPr>
        <w:t xml:space="preserve">Аналитика: </w:t>
      </w:r>
      <w:r>
        <w:rPr>
          <w:rFonts w:ascii="Aptos" w:hAnsi="Aptos" w:eastAsia="Aptos" w:cs="Aptos"/>
        </w:rPr>
        <w:t>KPI программы, эффект, динамика, качество, риски</w:t>
      </w:r>
    </w:p>
    <w:p>
      <w:r>
        <w:rPr>
          <w:rFonts w:ascii="Aptos" w:hAnsi="Aptos" w:eastAsia="Aptos" w:cs="Aptos"/>
          <w:b/>
          <w:color w:val="172D49"/>
        </w:rPr>
        <w:t xml:space="preserve">Антифрод: </w:t>
      </w:r>
      <w:r>
        <w:rPr>
          <w:rFonts w:ascii="Aptos" w:hAnsi="Aptos" w:eastAsia="Aptos" w:cs="Aptos"/>
        </w:rPr>
        <w:t>выявление дубликатов, аномалий и подозрительных паттернов с обязательной ручной проверкой спорных случаев</w:t>
      </w:r>
    </w:p>
    <w:p>
      <w:r>
        <w:rPr>
          <w:rFonts w:ascii="Aptos" w:hAnsi="Aptos" w:eastAsia="Aptos" w:cs="Aptos"/>
          <w:b/>
          <w:color w:val="172D49"/>
        </w:rPr>
        <w:t xml:space="preserve">API: </w:t>
      </w:r>
      <w:r>
        <w:rPr>
          <w:rFonts w:ascii="Aptos" w:hAnsi="Aptos" w:eastAsia="Aptos" w:cs="Aptos"/>
        </w:rPr>
        <w:t>интеграция с системами организаторов и государственными информационными ресурсами только при наличии правового основания</w:t>
      </w:r>
    </w:p>
    <w:p>
      <w:pPr>
        <w:pStyle w:val="Heading1"/>
      </w:pPr>
      <w:r>
        <w:rPr>
          <w:rFonts w:ascii="Aptos" w:hAnsi="Aptos" w:eastAsia="Aptos" w:cs="Aptos"/>
        </w:rPr>
        <w:t>14. Система управления</w:t>
      </w:r>
    </w:p>
    <w:p>
      <w:r>
        <w:rPr>
          <w:rFonts w:ascii="Aptos" w:hAnsi="Aptos" w:eastAsia="Aptos" w:cs="Aptos"/>
        </w:rPr>
        <w:t>Архитектура управления должна соответствовать действующей системе управления государственными программами Российской Федерации. В проекте предлагаются следующие роли:</w:t>
      </w:r>
    </w:p>
    <w:p>
      <w:r>
        <w:rPr>
          <w:rFonts w:ascii="Aptos" w:hAnsi="Aptos" w:eastAsia="Aptos" w:cs="Aptos"/>
          <w:b/>
        </w:rPr>
        <w:t xml:space="preserve">Куратор программы — </w:t>
      </w:r>
      <w:r>
        <w:rPr>
          <w:rFonts w:ascii="Aptos" w:hAnsi="Aptos" w:eastAsia="Aptos" w:cs="Aptos"/>
        </w:rPr>
        <w:t>стратегическая координация на уровне Правительства РФ.</w:t>
      </w:r>
    </w:p>
    <w:p>
      <w:r>
        <w:rPr>
          <w:rFonts w:ascii="Aptos" w:hAnsi="Aptos" w:eastAsia="Aptos" w:cs="Aptos"/>
          <w:b/>
        </w:rPr>
        <w:t xml:space="preserve">Ответственный исполнитель — </w:t>
      </w:r>
      <w:r>
        <w:rPr>
          <w:rFonts w:ascii="Aptos" w:hAnsi="Aptos" w:eastAsia="Aptos" w:cs="Aptos"/>
        </w:rPr>
        <w:t>организация реализации, показатели, бюджет, отчётность.</w:t>
      </w:r>
    </w:p>
    <w:p>
      <w:r>
        <w:rPr>
          <w:rFonts w:ascii="Aptos" w:hAnsi="Aptos" w:eastAsia="Aptos" w:cs="Aptos"/>
          <w:b/>
        </w:rPr>
        <w:t xml:space="preserve">Проектный комитет — </w:t>
      </w:r>
      <w:r>
        <w:rPr>
          <w:rFonts w:ascii="Aptos" w:hAnsi="Aptos" w:eastAsia="Aptos" w:cs="Aptos"/>
        </w:rPr>
        <w:t>межведомственная координация и решение спорных вопросов.</w:t>
      </w:r>
    </w:p>
    <w:p>
      <w:r>
        <w:rPr>
          <w:rFonts w:ascii="Aptos" w:hAnsi="Aptos" w:eastAsia="Aptos" w:cs="Aptos"/>
          <w:b/>
        </w:rPr>
        <w:t xml:space="preserve">Федеральный оператор — </w:t>
      </w:r>
      <w:r>
        <w:rPr>
          <w:rFonts w:ascii="Aptos" w:hAnsi="Aptos" w:eastAsia="Aptos" w:cs="Aptos"/>
        </w:rPr>
        <w:t>методология, цифровая платформа, реестр практик, поддержка регионов.</w:t>
      </w:r>
    </w:p>
    <w:p>
      <w:r>
        <w:rPr>
          <w:rFonts w:ascii="Aptos" w:hAnsi="Aptos" w:eastAsia="Aptos" w:cs="Aptos"/>
          <w:b/>
        </w:rPr>
        <w:t xml:space="preserve">Региональный оператор — </w:t>
      </w:r>
      <w:r>
        <w:rPr>
          <w:rFonts w:ascii="Aptos" w:hAnsi="Aptos" w:eastAsia="Aptos" w:cs="Aptos"/>
        </w:rPr>
        <w:t>пилоты, партнёры, верификация и локальная аналитика.</w:t>
      </w:r>
    </w:p>
    <w:p>
      <w:r>
        <w:rPr>
          <w:rFonts w:ascii="Aptos" w:hAnsi="Aptos" w:eastAsia="Aptos" w:cs="Aptos"/>
          <w:b/>
        </w:rPr>
        <w:t xml:space="preserve">Общественно-экспертный совет — </w:t>
      </w:r>
      <w:r>
        <w:rPr>
          <w:rFonts w:ascii="Aptos" w:hAnsi="Aptos" w:eastAsia="Aptos" w:cs="Aptos"/>
        </w:rPr>
        <w:t>этика, прозрачность, защита прав участников, независимая оценка.</w:t>
      </w:r>
    </w:p>
    <w:p>
      <w:pPr>
        <w:pStyle w:val="Heading1"/>
      </w:pPr>
      <w:r>
        <w:rPr>
          <w:rFonts w:ascii="Aptos" w:hAnsi="Aptos" w:eastAsia="Aptos" w:cs="Aptos"/>
        </w:rPr>
        <w:t>15. Предлагаемая структура проектов программы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99"/>
        <w:gridCol w:w="5099"/>
      </w:tblGrid>
      <w:tr>
        <w:trPr>
          <w:cantSplit/>
        </w:trPr>
        <w:tc>
          <w:tcPr>
            <w:tcW w:type="dxa" w:w="5099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Проект</w:t>
            </w:r>
          </w:p>
        </w:tc>
        <w:tc>
          <w:tcPr>
            <w:tcW w:type="dxa" w:w="5099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ФП-1 «Эстафета Огня»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национальный стандарт действий, наставничество и календарь событий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ФП-2 «Огонь Знания»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школы, колледжи, вузы, дополнительное образование, наставники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ФП-3 «Огонь Служения»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социальное добровольчество и местные сообщества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ФП-4 «Огонь Наследия»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культура, память, семейные и территориальные практики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ФП-5 «Огонь Земли»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экология, благоустройство, восстановление среды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ФП-6 «Огонь Кооперации»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бизнес, НКО, проектные задачи и партнёрство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ФП-7 «Цифровой Огонь»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платформа, данные, антифрод, аналитика, безопасность</w:t>
            </w:r>
          </w:p>
        </w:tc>
      </w:tr>
      <w:tr>
        <w:trPr>
          <w:cantSplit/>
        </w:trPr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ФП-8 «Лаборатория эффекта»</w:t>
            </w:r>
          </w:p>
        </w:tc>
        <w:tc>
          <w:tcPr>
            <w:tcW w:type="dxa" w:w="5099"/>
          </w:tcPr>
          <w:p>
            <w:r>
              <w:rPr>
                <w:rFonts w:ascii="Aptos" w:hAnsi="Aptos" w:eastAsia="Aptos" w:cs="Aptos"/>
              </w:rPr>
              <w:t>оценка результатов, исследования, аудит, тиражирование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16. Система показателей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cantSplit/>
        </w:trPr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Показатель</w:t>
            </w:r>
          </w:p>
        </w:tc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Смысл</w:t>
            </w:r>
          </w:p>
        </w:tc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Тип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Доля завершённых задач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% от принятых участниками задач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результативность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Доля верифицированных результатов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% результатов, прошедших проверку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результативность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Коэффициент передачи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доля кейсов, по которым создана инструкция, наставничество или повтор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масштабирование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Повторяемость практик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число практик, успешно воспроизведённых минимум в двух территориях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масштабирование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Социальный эффект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измеримый результат по типу проекта: получатели помощи, восстановленные объекты, обученные участники и др.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эффект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Стоимость результата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затраты программы на единицу подтверждённого эффекта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эффективность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Уровень доверия участников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опросная метрика и доля обжалованных решений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доверие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Качество данных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доля записей, соответствующих требованиям полноты и доказательности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качество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Доля спорных решений, пересмотренных после апелляции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контроль качества верификации и алгоритмов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качество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17. Финансовая модель</w:t>
      </w:r>
    </w:p>
    <w:p>
      <w:r>
        <w:rPr>
          <w:rFonts w:ascii="Aptos" w:hAnsi="Aptos" w:eastAsia="Aptos" w:cs="Aptos"/>
        </w:rPr>
        <w:t>Финансовое обеспечение должно формироваться только после разработки паспорта программы, состава проектов, расчёта мероприятий и бюджетных полномочий. На концептуальном этапе предлагается трёхуровневая модель:</w:t>
      </w:r>
    </w:p>
    <w:p>
      <w:r>
        <w:rPr>
          <w:rFonts w:ascii="Aptos" w:hAnsi="Aptos" w:eastAsia="Aptos" w:cs="Aptos"/>
          <w:b/>
        </w:rPr>
        <w:t xml:space="preserve">Федеральный контур: </w:t>
      </w:r>
      <w:r>
        <w:rPr>
          <w:rFonts w:ascii="Aptos" w:hAnsi="Aptos" w:eastAsia="Aptos" w:cs="Aptos"/>
        </w:rPr>
        <w:t>методология, базовая платформа, федеральные конкурсы и межрегиональные проекты.</w:t>
      </w:r>
    </w:p>
    <w:p>
      <w:r>
        <w:rPr>
          <w:rFonts w:ascii="Aptos" w:hAnsi="Aptos" w:eastAsia="Aptos" w:cs="Aptos"/>
          <w:b/>
        </w:rPr>
        <w:t xml:space="preserve">Региональный контур: </w:t>
      </w:r>
      <w:r>
        <w:rPr>
          <w:rFonts w:ascii="Aptos" w:hAnsi="Aptos" w:eastAsia="Aptos" w:cs="Aptos"/>
        </w:rPr>
        <w:t>софинансирование пилотов, операторов, инфраструктуры и локальных программ.</w:t>
      </w:r>
    </w:p>
    <w:p>
      <w:r>
        <w:rPr>
          <w:rFonts w:ascii="Aptos" w:hAnsi="Aptos" w:eastAsia="Aptos" w:cs="Aptos"/>
          <w:b/>
        </w:rPr>
        <w:t xml:space="preserve">Внебюджетный контур: </w:t>
      </w:r>
      <w:r>
        <w:rPr>
          <w:rFonts w:ascii="Aptos" w:hAnsi="Aptos" w:eastAsia="Aptos" w:cs="Aptos"/>
        </w:rPr>
        <w:t>добровольное софинансирование бизнеса, фондов и партнёров по прозрачным соглашениям без покупки знаков ОГОНЬ.</w:t>
      </w:r>
    </w:p>
    <w:p>
      <w:pPr>
        <w:pStyle w:val="SmallGray"/>
      </w:pPr>
      <w:r>
        <w:rPr>
          <w:rFonts w:ascii="Aptos" w:hAnsi="Aptos" w:eastAsia="Aptos" w:cs="Aptos"/>
        </w:rPr>
        <w:t>В документ намеренно не включены неподтверждённые объёмы финансирования. Бюджет должен рассчитываться по мероприятиям и результатам пилота.</w:t>
      </w:r>
    </w:p>
    <w:p>
      <w:pPr>
        <w:pStyle w:val="Heading1"/>
      </w:pPr>
      <w:r>
        <w:rPr>
          <w:rFonts w:ascii="Aptos" w:hAnsi="Aptos" w:eastAsia="Aptos" w:cs="Aptos"/>
        </w:rPr>
        <w:t>18. Дорожная карта пилотирования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cantSplit/>
        </w:trPr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Этап</w:t>
            </w:r>
          </w:p>
        </w:tc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Срок</w:t>
            </w:r>
          </w:p>
        </w:tc>
        <w:tc>
          <w:tcPr>
            <w:tcW w:type="dxa" w:w="3400"/>
            <w:shd w:fill="17304A"/>
          </w:tcPr>
          <w:p>
            <w:r>
              <w:rPr>
                <w:rFonts w:ascii="Aptos" w:hAnsi="Aptos" w:eastAsia="Aptos" w:cs="Aptos"/>
                <w:b/>
                <w:color w:val="FFFFFF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Этап 0. Предпроектная проработка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III–IV кв. 2026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правовая модель, методика, участники, дизайн пилота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Этап 1. Технический прототип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I–II кв. 2027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MVP платформы, 3–5 типов задач, 500–1 000 участников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Этап 2. Региональный пилот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II–IV кв. 2027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1–3 региона, 5 000–20 000 участников, независимая оценка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Этап 3. Межрегиональное расширение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2028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10+ регионов, единая библиотека практик, интеграции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Этап 4. Решение о масштабировании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конец 2028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оценка эффективности, правовых рисков и экономической целесообразности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Этап 5. Национальный контур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2029–2032</w:t>
            </w:r>
          </w:p>
        </w:tc>
        <w:tc>
          <w:tcPr>
            <w:tcW w:type="dxa" w:w="3400"/>
          </w:tcPr>
          <w:p>
            <w:r>
              <w:rPr>
                <w:rFonts w:ascii="Aptos" w:hAnsi="Aptos" w:eastAsia="Aptos" w:cs="Aptos"/>
              </w:rPr>
              <w:t>масштабирование только при подтверждённом эффекте</w:t>
            </w:r>
          </w:p>
        </w:tc>
      </w:tr>
    </w:tbl>
    <w:p>
      <w:pPr>
        <w:pStyle w:val="Heading1"/>
      </w:pPr>
      <w:r>
        <w:rPr>
          <w:rFonts w:ascii="Aptos" w:hAnsi="Aptos" w:eastAsia="Aptos" w:cs="Aptos"/>
        </w:rPr>
        <w:t>19. Ключевые риски и меры защиты</w:t>
      </w:r>
    </w:p>
    <w:p>
      <w:r>
        <w:rPr>
          <w:rFonts w:ascii="Aptos" w:hAnsi="Aptos" w:eastAsia="Aptos" w:cs="Aptos"/>
          <w:b/>
          <w:color w:val="E06C2D"/>
        </w:rPr>
        <w:t xml:space="preserve">Формализация и «гонка за баллами»: </w:t>
      </w:r>
      <w:r>
        <w:rPr>
          <w:rFonts w:ascii="Aptos" w:hAnsi="Aptos" w:eastAsia="Aptos" w:cs="Aptos"/>
        </w:rPr>
        <w:t>не привязывать базовые права к показателям участия; оценивать результат, а не количество кликов.</w:t>
      </w:r>
    </w:p>
    <w:p>
      <w:r>
        <w:rPr>
          <w:rFonts w:ascii="Aptos" w:hAnsi="Aptos" w:eastAsia="Aptos" w:cs="Aptos"/>
          <w:b/>
          <w:color w:val="E06C2D"/>
        </w:rPr>
        <w:t xml:space="preserve">Накрутка: </w:t>
      </w:r>
      <w:r>
        <w:rPr>
          <w:rFonts w:ascii="Aptos" w:hAnsi="Aptos" w:eastAsia="Aptos" w:cs="Aptos"/>
        </w:rPr>
        <w:t>выборочная верификация, риск-модели, ограничения на повторные однотипные действия, человеческий контроль.</w:t>
      </w:r>
    </w:p>
    <w:p>
      <w:r>
        <w:rPr>
          <w:rFonts w:ascii="Aptos" w:hAnsi="Aptos" w:eastAsia="Aptos" w:cs="Aptos"/>
          <w:b/>
          <w:color w:val="E06C2D"/>
        </w:rPr>
        <w:t xml:space="preserve">Избыточный сбор данных: </w:t>
      </w:r>
      <w:r>
        <w:rPr>
          <w:rFonts w:ascii="Aptos" w:hAnsi="Aptos" w:eastAsia="Aptos" w:cs="Aptos"/>
        </w:rPr>
        <w:t>privacy-by-design, минимизация данных, агрегированная публичная статистика.</w:t>
      </w:r>
    </w:p>
    <w:p>
      <w:r>
        <w:rPr>
          <w:rFonts w:ascii="Aptos" w:hAnsi="Aptos" w:eastAsia="Aptos" w:cs="Aptos"/>
          <w:b/>
          <w:color w:val="E06C2D"/>
        </w:rPr>
        <w:t xml:space="preserve">Дискриминация: </w:t>
      </w:r>
      <w:r>
        <w:rPr>
          <w:rFonts w:ascii="Aptos" w:hAnsi="Aptos" w:eastAsia="Aptos" w:cs="Aptos"/>
        </w:rPr>
        <w:t>запрет универсального социального рейтинга и автоматических санкций.</w:t>
      </w:r>
    </w:p>
    <w:p>
      <w:r>
        <w:rPr>
          <w:rFonts w:ascii="Aptos" w:hAnsi="Aptos" w:eastAsia="Aptos" w:cs="Aptos"/>
          <w:b/>
          <w:color w:val="E06C2D"/>
        </w:rPr>
        <w:t xml:space="preserve">Бюрократизация: </w:t>
      </w:r>
      <w:r>
        <w:rPr>
          <w:rFonts w:ascii="Aptos" w:hAnsi="Aptos" w:eastAsia="Aptos" w:cs="Aptos"/>
        </w:rPr>
        <w:t>минимальный набор форм, единый цифровой шаблон и API.</w:t>
      </w:r>
    </w:p>
    <w:p>
      <w:r>
        <w:rPr>
          <w:rFonts w:ascii="Aptos" w:hAnsi="Aptos" w:eastAsia="Aptos" w:cs="Aptos"/>
          <w:b/>
          <w:color w:val="E06C2D"/>
        </w:rPr>
        <w:t xml:space="preserve">Политизация общественно полезной активности: </w:t>
      </w:r>
      <w:r>
        <w:rPr>
          <w:rFonts w:ascii="Aptos" w:hAnsi="Aptos" w:eastAsia="Aptos" w:cs="Aptos"/>
        </w:rPr>
        <w:t>чёткие нейтральные критерии задач и экспертно-общественный контроль.</w:t>
      </w:r>
    </w:p>
    <w:p>
      <w:r>
        <w:rPr>
          <w:rFonts w:ascii="Aptos" w:hAnsi="Aptos" w:eastAsia="Aptos" w:cs="Aptos"/>
          <w:b/>
          <w:color w:val="E06C2D"/>
        </w:rPr>
        <w:t xml:space="preserve">Коммерциализация знака ОГОНЬ: </w:t>
      </w:r>
      <w:r>
        <w:rPr>
          <w:rFonts w:ascii="Aptos" w:hAnsi="Aptos" w:eastAsia="Aptos" w:cs="Aptos"/>
        </w:rPr>
        <w:t>юридический запрет продажи, передачи и денежной конвертации.</w:t>
      </w:r>
    </w:p>
    <w:p>
      <w:pPr>
        <w:pStyle w:val="Heading1"/>
      </w:pPr>
      <w:r>
        <w:rPr>
          <w:rFonts w:ascii="Aptos" w:hAnsi="Aptos" w:eastAsia="Aptos" w:cs="Aptos"/>
        </w:rPr>
        <w:t>20. Нормативно-методическая рамка</w:t>
      </w:r>
    </w:p>
    <w:p>
      <w:r>
        <w:rPr>
          <w:rFonts w:ascii="Aptos" w:hAnsi="Aptos" w:eastAsia="Aptos" w:cs="Aptos"/>
        </w:rPr>
        <w:t>При разработке официального проекта государственной программы необходимо учитывать действующее Положение о системе управления государственными программами Российской Федерации, утверждённое постановлением Правительства РФ от 26 мая 2021 г. № 786, включая требования к стратегическим приоритетам, содержанию программы и системе управления. По состоянию на август 2026 года указанное постановление действует в редакции с изменениями 2026 года.</w:t>
      </w:r>
    </w:p>
    <w:p>
      <w:r>
        <w:rPr>
          <w:rFonts w:ascii="Aptos" w:hAnsi="Aptos" w:eastAsia="Aptos" w:cs="Aptos"/>
        </w:rPr>
        <w:t>Отдельной правовой проработки потребуют: персональные данные; информационная безопасность; межведомственный обмен; правила участия несовершеннолетних; грантовые и закупочные механизмы; порядок верификации; апелляции; использование символики; режим интеллектуальных прав на материалы библиотеки практик.</w:t>
      </w:r>
    </w:p>
    <w:p>
      <w:pPr>
        <w:pStyle w:val="Heading1"/>
      </w:pPr>
      <w:r>
        <w:rPr>
          <w:rFonts w:ascii="Aptos" w:hAnsi="Aptos" w:eastAsia="Aptos" w:cs="Aptos"/>
        </w:rPr>
        <w:t>21. Что требуется для запуска государственного пилота</w:t>
      </w:r>
    </w:p>
    <w:p>
      <w:pPr/>
      <w:r>
        <w:rPr>
          <w:rFonts w:ascii="Aptos" w:hAnsi="Aptos" w:eastAsia="Aptos" w:cs="Aptos"/>
        </w:rPr>
      </w:r>
      <w:r>
        <w:t>1. утвердить концепцию пилота и определить федерального координатора;</w:t>
      </w:r>
    </w:p>
    <w:p>
      <w:pPr/>
      <w:r>
        <w:rPr>
          <w:rFonts w:ascii="Aptos" w:hAnsi="Aptos" w:eastAsia="Aptos" w:cs="Aptos"/>
        </w:rPr>
      </w:r>
      <w:r>
        <w:t>2. сформировать межведомственную рабочую группу;</w:t>
      </w:r>
    </w:p>
    <w:p>
      <w:pPr/>
      <w:r>
        <w:rPr>
          <w:rFonts w:ascii="Aptos" w:hAnsi="Aptos" w:eastAsia="Aptos" w:cs="Aptos"/>
        </w:rPr>
      </w:r>
      <w:r>
        <w:t>3. утвердить методику общественно полезного события и доказательства результата;</w:t>
      </w:r>
    </w:p>
    <w:p>
      <w:pPr/>
      <w:r>
        <w:rPr>
          <w:rFonts w:ascii="Aptos" w:hAnsi="Aptos" w:eastAsia="Aptos" w:cs="Aptos"/>
        </w:rPr>
      </w:r>
      <w:r>
        <w:t>4. выбрать 1–3 пилотных региона и 3–5 тематических направлений;</w:t>
      </w:r>
    </w:p>
    <w:p>
      <w:pPr/>
      <w:r>
        <w:rPr>
          <w:rFonts w:ascii="Aptos" w:hAnsi="Aptos" w:eastAsia="Aptos" w:cs="Aptos"/>
        </w:rPr>
      </w:r>
      <w:r>
        <w:t>5. провести оценку воздействия на права граждан и защиту персональных данных;</w:t>
      </w:r>
    </w:p>
    <w:p>
      <w:pPr/>
      <w:r>
        <w:rPr>
          <w:rFonts w:ascii="Aptos" w:hAnsi="Aptos" w:eastAsia="Aptos" w:cs="Aptos"/>
        </w:rPr>
      </w:r>
      <w:r>
        <w:t>6. создать минимальную цифровую платформу и независимый контур оценки;</w:t>
      </w:r>
    </w:p>
    <w:p>
      <w:pPr/>
      <w:r>
        <w:rPr>
          <w:rFonts w:ascii="Aptos" w:hAnsi="Aptos" w:eastAsia="Aptos" w:cs="Aptos"/>
        </w:rPr>
      </w:r>
      <w:r>
        <w:t>7. по итогам 6–12 месяцев принять решение: остановка, доработка или масштабирование.</w:t>
      </w:r>
    </w:p>
    <w:p>
      <w:pPr>
        <w:pStyle w:val="Heading1"/>
      </w:pPr>
      <w:r>
        <w:rPr>
          <w:rFonts w:ascii="Aptos" w:hAnsi="Aptos" w:eastAsia="Aptos" w:cs="Aptos"/>
        </w:rPr>
        <w:t>22. Итоговая формула программы</w:t>
      </w:r>
    </w:p>
    <w:p>
      <w:pPr>
        <w:spacing w:before="320"/>
        <w:jc w:val="center"/>
      </w:pPr>
      <w:r>
        <w:rPr>
          <w:rFonts w:ascii="Aptos" w:hAnsi="Aptos" w:eastAsia="Aptos" w:cs="Aptos"/>
          <w:b/>
          <w:color w:val="E06C2D"/>
          <w:sz w:val="32"/>
        </w:rPr>
        <w:t>ЗНАНИЕ → ДЕЙСТВИЕ → РЕЗУЛЬТАТ → ПЕРЕДАЧА → МАСШТАБ</w:t>
      </w:r>
    </w:p>
    <w:p>
      <w:pPr>
        <w:jc w:val="center"/>
      </w:pPr>
      <w:r>
        <w:rPr>
          <w:rFonts w:ascii="Aptos" w:hAnsi="Aptos" w:eastAsia="Aptos" w:cs="Aptos"/>
          <w:b/>
          <w:color w:val="172D49"/>
          <w:sz w:val="24"/>
        </w:rPr>
        <w:t>«ОГОНЬ» — не рейтинг человека. Это доказательство конкретного добровольного дела.</w:t>
      </w:r>
    </w:p>
    <w:p>
      <w:pPr>
        <w:pStyle w:val="Heading1"/>
      </w:pPr>
      <w:r>
        <w:rPr>
          <w:rFonts w:ascii="Aptos" w:hAnsi="Aptos" w:eastAsia="Aptos" w:cs="Aptos"/>
        </w:rPr>
        <w:t>23. Источники и ориентиры</w:t>
      </w:r>
    </w:p>
    <w:p>
      <w:pPr>
        <w:pStyle w:val="ListBullet"/>
      </w:pPr>
      <w:r>
        <w:rPr>
          <w:rFonts w:ascii="Aptos" w:hAnsi="Aptos" w:eastAsia="Aptos" w:cs="Aptos"/>
        </w:rPr>
        <w:t>Постановление Правительства Российской Федерации от 26.05.2021 № 786 «О системе управления государственными программами Российской Федерации» (действующая редакция на август 2026 года).</w:t>
      </w:r>
    </w:p>
    <w:p>
      <w:pPr>
        <w:pStyle w:val="ListBullet"/>
      </w:pPr>
      <w:r>
        <w:rPr>
          <w:rFonts w:ascii="Aptos" w:hAnsi="Aptos" w:eastAsia="Aptos" w:cs="Aptos"/>
        </w:rPr>
        <w:t>Официальное опубликование правовых актов: публикация постановления Правительства РФ № 786 от 26.05.2021.</w:t>
      </w:r>
    </w:p>
    <w:p>
      <w:pPr>
        <w:pStyle w:val="ListBullet"/>
      </w:pPr>
      <w:r>
        <w:rPr>
          <w:rFonts w:ascii="Aptos" w:hAnsi="Aptos" w:eastAsia="Aptos" w:cs="Aptos"/>
        </w:rPr>
        <w:t>Материалы концепции ЭКВИЛИБРИУМ / «Эстафета Огня Знания», разработанные в рамках текущего проекта.</w:t>
      </w:r>
    </w:p>
    <w:p>
      <w:pPr>
        <w:spacing w:before="320"/>
      </w:pPr>
      <w:r>
        <w:rPr>
          <w:rFonts w:ascii="Aptos" w:hAnsi="Aptos" w:eastAsia="Aptos" w:cs="Aptos"/>
          <w:b/>
        </w:rPr>
        <w:t xml:space="preserve">Примечание: </w:t>
      </w:r>
      <w:r>
        <w:rPr>
          <w:rFonts w:ascii="Aptos" w:hAnsi="Aptos" w:eastAsia="Aptos" w:cs="Aptos"/>
        </w:rPr>
        <w:t>до внесения проекта в официальный контур государственной программы необходимы межведомственное согласование, финансово-экономическое обоснование, правовая экспертиза, оценка регулирующего и социального воздействия, а также пилотная проверка показателей.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</w:tcPr>
        <w:p>
          <w:r>
            <w:rPr>
              <w:color w:val="5A626C"/>
              <w:sz w:val="16"/>
            </w:rPr>
            <w:t>ЭКВИЛИБРИУМ • контур общественно полезного действия</w:t>
          </w:r>
        </w:p>
      </w:tc>
      <w:tc>
        <w:tcPr>
          <w:tcW w:type="dxa" w:w="4819"/>
        </w:tcPr>
        <w:p>
          <w:pPr>
            <w:jc w:val="right"/>
          </w:pP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 w:cs="Aptos"/>
        <w:color w:val="5A626C"/>
        <w:sz w:val="17"/>
      </w:rPr>
      <w:t>ПРОЕКТ • Государственная программа «ОГОНЬ»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2D4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E06C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72D4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72D49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Gray">
    <w:name w:val="Small Gray"/>
    <w:pPr>
      <w:spacing w:after="80"/>
    </w:pPr>
    <w:rPr>
      <w:rFonts w:ascii="Aptos" w:hAnsi="Aptos"/>
      <w:color w:val="5A626C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