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RPIKicker"/>
        <w:spacing w:before="0" w:after="140"/>
        <w:jc w:val="center"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>БЕЛАЯ КНИГА СУДЬБЫ  •  ПРОЕКТНЫЙ МОДУЛЬ</w:t>
      </w:r>
    </w:p>
    <w:p>
      <w:pPr>
        <w:pStyle w:val="Title"/>
        <w:spacing w:before="0" w:after="80"/>
        <w:jc w:val="center"/>
      </w:pPr>
      <w:r>
        <w:rPr>
          <w:rFonts w:ascii="Calibri" w:hAnsi="Calibri" w:eastAsia="Calibri" w:cs="Calibri"/>
          <w:b/>
          <w:color w:val="0B2545"/>
          <w:sz w:val="58"/>
          <w:lang w:val="ru-RU"/>
        </w:rPr>
        <w:t>Города Знания</w:t>
      </w:r>
    </w:p>
    <w:p>
      <w:pPr>
        <w:pStyle w:val="Subtitle"/>
        <w:spacing w:after="160"/>
        <w:jc w:val="center"/>
      </w:pPr>
      <w:r>
        <w:rPr>
          <w:rFonts w:ascii="Calibri" w:hAnsi="Calibri" w:eastAsia="Calibri" w:cs="Calibri"/>
          <w:color w:val="1F4D78"/>
          <w:sz w:val="26"/>
          <w:lang w:val="ru-RU"/>
        </w:rPr>
        <w:t>Человек в центре • знание в обращении • доказательства в решениях</w:t>
      </w:r>
    </w:p>
    <w:p>
      <w:pPr>
        <w:spacing w:after="140"/>
        <w:jc w:val="center"/>
      </w:pPr>
      <w:r>
        <w:drawing>
          <wp:inline xmlns:a="http://schemas.openxmlformats.org/drawingml/2006/main" xmlns:pic="http://schemas.openxmlformats.org/drawingml/2006/picture">
            <wp:extent cx="2737797" cy="4864608"/>
            <wp:docPr id="1" name="Picture 1" title="Города Знания" descr="Светлая вертикальная иллюстрация человекоцентричного города: люди, образовательные и научные пространства, природный контур и соединяющие их световые линии зн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Города_Знания_9x1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7797" cy="48646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"/>
        <w:jc w:val="center"/>
      </w:pPr>
      <w:r>
        <w:rPr>
          <w:rFonts w:ascii="Calibri" w:hAnsi="Calibri" w:eastAsia="Calibri" w:cs="Calibri"/>
          <w:i/>
          <w:color w:val="5A6B7A"/>
          <w:sz w:val="16"/>
          <w:lang w:val="ru-RU"/>
        </w:rPr>
        <w:t>Концептуальная визуализация; не изображение существующего города</w:t>
      </w:r>
    </w:p>
    <w:p>
      <w:pPr>
        <w:spacing w:before="0" w:after="40"/>
        <w:jc w:val="center"/>
      </w:pPr>
      <w:r>
        <w:rPr>
          <w:rFonts w:ascii="Calibri" w:hAnsi="Calibri" w:eastAsia="Calibri" w:cs="Calibri"/>
          <w:i/>
          <w:color w:val="5A6B7A"/>
          <w:sz w:val="18"/>
          <w:lang w:val="ru-RU"/>
        </w:rPr>
        <w:t>Проектная редакция 1.0  •  30 августа 2026</w:t>
      </w:r>
    </w:p>
    <w:p>
      <w:pPr>
        <w:spacing w:after="20"/>
        <w:jc w:val="center"/>
      </w:pPr>
      <w:r>
        <w:rPr>
          <w:rFonts w:ascii="Calibri" w:hAnsi="Calibri" w:eastAsia="Calibri" w:cs="Calibri"/>
          <w:b/>
          <w:color w:val="0B2545"/>
          <w:sz w:val="17"/>
          <w:lang w:val="ru-RU"/>
        </w:rPr>
        <w:t>BKS-CAND-GZ-0001-M01  •  BKS-REVIVAL-SUP-GZ-2026-01</w:t>
      </w:r>
    </w:p>
    <w:p>
      <w:pPr>
        <w:spacing w:before="40"/>
        <w:jc w:val="center"/>
      </w:pPr>
      <w:r>
        <w:rPr>
          <w:rFonts w:ascii="Calibri" w:hAnsi="Calibri" w:eastAsia="Calibri" w:cs="Calibri"/>
          <w:color w:val="5A6B7A"/>
          <w:sz w:val="17"/>
          <w:lang w:val="ru-RU"/>
        </w:rPr>
        <w:t>Проектный синтез; не является сертификацией ISO или UNESCO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01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Исполнительный тезис и паспорт выпуска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ПРОЕКТНОЕ ОПРЕДЕЛЕНИЕ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Город Знания — человекоцентричная городская экосистема, которая превращает опыт, данные, науку, культуру и местное знание в доступное обучение и проверяемые общественные результаты на протяжении всей жизни.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Это не новый закрытый квартал и не технологическая витрина. Это договорённость о том, как существующие школы, университеты, библиотеки, музеи, предприятия, общественные организации, фермы, клиники, цифровые платформы и органы управления совместно создают, проверяют и возвращают знание жителям.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100"/>
        <w:gridCol w:w="7260"/>
      </w:tblGrid>
      <w:tr>
        <w:trPr>
          <w:tblHeader w:val="true"/>
          <w:cantSplit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Поле</w:t>
            </w:r>
          </w:p>
        </w:tc>
        <w:tc>
          <w:tcPr>
            <w:tcW w:type="dxa" w:w="7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Документ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BKS-CAND-GZ-0001-M01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Пакет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BKS-REVIVAL-SUP-GZ-2026-01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Статус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Candidate — для обсуждения, пилотирования и независимой проверки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Базовый реестр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BKS-0001…BKS-0344; base_count = 344; без новых базовых записей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Связи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BKS-0233…BKS-0235: «Парки России и мира / Города Знания / Суперкласс»; F11, вторично F06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ГРАНИЦА УТВЕРЖДЕНИЙ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«Город Знания» — наш проектный синтез. Ссылки на UNESCO, UN-Habitat, ITU/U4SSC и ISO задают официальную рамку сравнения, но не означают их одобрения, членства или сертификации.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02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Операционное определение и официальная рамка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Операционно Город Знания существует только тогда, когда четыре способности работают одновременно: доступ к обучению, взаимный обмен знанием, превращение знания в проверяемую практику и сохранение памяти о том, что сработало или не сработало. Отдельный кампус, портал или набор датчиков без этого цикла — лишь инфраструктура.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900"/>
        <w:gridCol w:w="3900"/>
        <w:gridCol w:w="3560"/>
      </w:tblGrid>
      <w:tr>
        <w:trPr>
          <w:tblHeader w:val="true"/>
          <w:cantSplit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Опорная рамка</w:t>
            </w:r>
          </w:p>
        </w:tc>
        <w:tc>
          <w:tcPr>
            <w:tcW w:type="dxa" w:w="3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Что берём в проект</w:t>
            </w:r>
          </w:p>
        </w:tc>
        <w:tc>
          <w:tcPr>
            <w:tcW w:type="dxa" w:w="35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Чего не утверждаем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UNESCO Learning Cities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Обучение на протяжении всей жизни, участие секторов, мобилизация ресурсов, мониторинг прогресса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Что город автоматически входит в GNLC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UN-Habitat, 2025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Права, доступность, устойчивость, участие и человекоцентричное цифровое преобразование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Что не имеющие обязательной силы рекомендации являются законом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ITU / U4SSC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Структурированный набор KPI и добровольная верификация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Что любой KPI сам по себе доказывает общественную ценность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ISO 37100 family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Термины, системы управления, методы и наборы индикаторов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Что стандарты задают универсальные целевые пороги</w:t>
            </w:r>
          </w:p>
        </w:tc>
      </w:tr>
    </w:tbl>
    <w:p>
      <w:pPr>
        <w:spacing w:before="0" w:after="80"/>
      </w:pPr>
    </w:p>
    <w:p>
      <w:pPr>
        <w:pStyle w:val="KRPICaption"/>
        <w:spacing w:before="80" w:after="80"/>
      </w:pPr>
      <w:r>
        <w:t>Официальные точки отсчёта: UNESCO UIL; UN-Habitat International Guidelines on People-Centred Smart Cities (2025); ITU/U4SSC; ISO/TC 268. Полные ссылки — на с. 25.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Объект управления — не «умность» города, а способность жителей учиться и влиять на решения.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Единица результата — проверяемое улучшение доступа, качества жизни, устойчивости или доверия при соблюдении прав.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Показатели выбираются по местному контексту; исходные значения и неопределённость публикуются до пилота.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03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Человек в центре: права раньше технологий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9B1C1C"/>
          <w:left w:val="single" w:sz="8" w:space="0" w:color="9B1C1C"/>
          <w:bottom w:val="single" w:sz="8" w:space="0" w:color="9B1C1C"/>
          <w:right w:val="single" w:sz="8" w:space="0" w:color="9B1C1C"/>
          <w:insideH w:val="single" w:sz="8" w:space="0" w:color="9B1C1C"/>
          <w:insideV w:val="single" w:sz="8" w:space="0" w:color="9B1C1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DEEEE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9B1C1C"/>
                <w:sz w:val="18"/>
                <w:lang w:val="ru-RU"/>
              </w:rPr>
              <w:t xml:space="preserve">НЕПЕРЕГОВОРНЫЙ ПРИНЦИП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Ни один человек не сводится к рейтингу полезности, судьбы, потенциала или лояльности. Решения, затрагивающие права и доступ к базовым услугам, не передаются алгоритму без ответственного человека и процедуры обжалования.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Пять гарантий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Достоинство и агентность: понятное согласие, право отказаться и альтернативный нецифровой канал.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Равный доступ: универсальный дизайн, языковая и возрастная доступность, поддержка людей с ограничениями.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Приватность: минимизация данных, ограничение цели, сроки хранения и запрет скрытой перепродажи.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Оспоримость: объяснение, журнал решения, независимая жалоба и своевременное исправление.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Человеческая остановка: уполномоченный оператор может безопасно остановить эксперимент или сервис.</w:t>
      </w:r>
    </w:p>
    <w:p>
      <w:pPr>
        <w:pStyle w:val="Heading2"/>
        <w:keepNext/>
      </w:pPr>
      <w:r>
        <w:t>Проверка общественной ценности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До запуска команда отвечает на три вопроса: кто получает выгоду, кто несёт риск и кто может сказать «стоп». Ответы проверяются с группами, которых решение затрагивает сильнее всего. Итоговая оценка не усредняет права меньшинства внутри высокого городского балла.</w:t>
      </w:r>
    </w:p>
    <w:p>
      <w:pPr>
        <w:pStyle w:val="KRPICaption"/>
        <w:spacing w:before="80" w:after="80"/>
      </w:pPr>
      <w:r>
        <w:t>Нормативные ориентиры: Всеобщая декларация прав человека; Рекомендация UNESCO об этике искусственного интеллекта (2021); UN-Habitat (2025).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04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Полный цикл обращения знания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ЦИКЛ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Вызов → общественный вопрос → данные и опыт → совместное исследование → обучение → обратимый эксперимент → решение/практика → измерение эффектов → общая память → масштабирование, изменение или остановка.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Цикл не является конвейером, где решение известно заранее. На каждом переходе допускается возврат: данные могут изменить вопрос, независимая проверка — отклонить метод, а жители — изменить критерий успеха. Это превращает городскую политику из серии разовых проектов в обучающуюся систему.</w:t>
      </w:r>
    </w:p>
    <w:p>
      <w:pPr>
        <w:pStyle w:val="Heading2"/>
        <w:keepNext/>
      </w:pPr>
      <w:r>
        <w:t>Контрольные переходы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Сформулировать общественный вопрос так, чтобы он не подменялся закупкой конкретной технологии.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Зафиксировать исходный уровень, источники данных, ограничения и план защиты участников.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Провести ограниченный обратимый пилот с заранее определёнными критериями PASS / REWORK / STOP.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Измерить прямые, распределительные и непредвиденные эффекты, а не только объём активности.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Записать решение, данные, неопределённость и уроки в общий архив, включая отрицательные результаты.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ПРАВИЛО ПАМЯТИ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Если невозможно восстановить, почему было принято решение и на каких данных, цикл считается незавершённым.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05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Восемь функциональных контуров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Контуры — не отраслевые «колодцы», а взаимосвязанные функции. У каждого есть владелец общественного результата, партнёры, набор доказательств и маршрут передачи знаний между поколениями.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300"/>
        <w:gridCol w:w="3420"/>
        <w:gridCol w:w="3640"/>
      </w:tblGrid>
      <w:tr>
        <w:trPr>
          <w:tblHeader w:val="true"/>
          <w:cantSplit/>
        </w:trPr>
        <w:tc>
          <w:tcPr>
            <w:tcW w:type="dxa" w:w="2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Контур</w:t>
            </w:r>
          </w:p>
        </w:tc>
        <w:tc>
          <w:tcPr>
            <w:tcW w:type="dxa" w:w="34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Функция</w:t>
            </w:r>
          </w:p>
        </w:tc>
        <w:tc>
          <w:tcPr>
            <w:tcW w:type="dxa" w:w="36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Пример проверяемого результата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1. Образование</w:t>
            </w:r>
          </w:p>
        </w:tc>
        <w:tc>
          <w:tcPr>
            <w:tcW w:type="dxa" w:w="3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Непрерывная траектория обучения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Снижение барьеров входа и завершения программ</w:t>
            </w:r>
          </w:p>
        </w:tc>
      </w:tr>
      <w:tr>
        <w:trPr>
          <w:cantSplit/>
        </w:trPr>
        <w:tc>
          <w:tcPr>
            <w:tcW w:type="dxa" w:w="2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2. Наука</w:t>
            </w:r>
          </w:p>
        </w:tc>
        <w:tc>
          <w:tcPr>
            <w:tcW w:type="dxa" w:w="34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Исследование городских задач</w:t>
            </w:r>
          </w:p>
        </w:tc>
        <w:tc>
          <w:tcPr>
            <w:tcW w:type="dxa" w:w="36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Воспроизводимый протокол и открытый отчёт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3. Культура / архив</w:t>
            </w:r>
          </w:p>
        </w:tc>
        <w:tc>
          <w:tcPr>
            <w:tcW w:type="dxa" w:w="3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Память и смысловая навигация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Доступный каталог с происхождением материалов</w:t>
            </w:r>
          </w:p>
        </w:tc>
      </w:tr>
      <w:tr>
        <w:trPr>
          <w:cantSplit/>
        </w:trPr>
        <w:tc>
          <w:tcPr>
            <w:tcW w:type="dxa" w:w="2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4. Производство / предпринимательство</w:t>
            </w:r>
          </w:p>
        </w:tc>
        <w:tc>
          <w:tcPr>
            <w:tcW w:type="dxa" w:w="34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Ответственное применение знаний</w:t>
            </w:r>
          </w:p>
        </w:tc>
        <w:tc>
          <w:tcPr>
            <w:tcW w:type="dxa" w:w="36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Безопасный пилот с измеренным ресурсным эффектом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5. Здоровье / социальная сфера</w:t>
            </w:r>
          </w:p>
        </w:tc>
        <w:tc>
          <w:tcPr>
            <w:tcW w:type="dxa" w:w="3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Профилактика и поддержка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Улучшение доступности без дискриминации</w:t>
            </w:r>
          </w:p>
        </w:tc>
      </w:tr>
      <w:tr>
        <w:trPr>
          <w:cantSplit/>
        </w:trPr>
        <w:tc>
          <w:tcPr>
            <w:tcW w:type="dxa" w:w="2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6. Гражданское управление</w:t>
            </w:r>
          </w:p>
        </w:tc>
        <w:tc>
          <w:tcPr>
            <w:tcW w:type="dxa" w:w="34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Совместная постановка задач</w:t>
            </w:r>
          </w:p>
        </w:tc>
        <w:tc>
          <w:tcPr>
            <w:tcW w:type="dxa" w:w="36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Публичный ответ на предложения и жалобы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7. Цифровая / дата-инфраструктура</w:t>
            </w:r>
          </w:p>
        </w:tc>
        <w:tc>
          <w:tcPr>
            <w:tcW w:type="dxa" w:w="3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Совместимость и доказательность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Прослеживаемые данные и переносимость</w:t>
            </w:r>
          </w:p>
        </w:tc>
      </w:tr>
      <w:tr>
        <w:trPr>
          <w:cantSplit/>
        </w:trPr>
        <w:tc>
          <w:tcPr>
            <w:tcW w:type="dxa" w:w="2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8. Биосфера / пища / вода</w:t>
            </w:r>
          </w:p>
        </w:tc>
        <w:tc>
          <w:tcPr>
            <w:tcW w:type="dxa" w:w="34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Экологическая устойчивость</w:t>
            </w:r>
          </w:p>
        </w:tc>
        <w:tc>
          <w:tcPr>
            <w:tcW w:type="dxa" w:w="36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Измеренный баланс воды, почвы, биоразнообразия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СКВОЗНОЕ УСЛОВИЕ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Каждый контур проходит права, доказательства, независимую проверку и архивирование; ни один не получает исключение из G0–G8.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06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Пространственная модель: созвездие, а не анклав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Город Знания не строится вокруг одного престижного центра. Координационное ядро связывает уже существующие учреждения и делает их доступными в повседневной географии жителей.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750"/>
        <w:gridCol w:w="4300"/>
        <w:gridCol w:w="3310"/>
      </w:tblGrid>
      <w:tr>
        <w:trPr>
          <w:tblHeader w:val="true"/>
          <w:cantSplit/>
        </w:trP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Масштаб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Состав</w:t>
            </w:r>
          </w:p>
        </w:tc>
        <w:tc>
          <w:tcPr>
            <w:tcW w:type="dxa" w:w="33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Критерий доступности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Микро: 15–30 минут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Школа, библиотека, клуб, клиника, ферма, мастерская, мобильная лаборатория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Человек может войти без специального статуса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Город / агломерация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Университеты, музеи, лаборатории, предприятия, органы власти, дата-платформа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Единые маршруты, стандарты данных и взаимное признание результатов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Межгородская сеть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Партнёрские города, исследовательские и архивные узлы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Переносимость методик, а не копирование контекста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Шесть элементов созвездия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координационное ядро с публичным мандатом и ограниченным сроком полномочий;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опорные учреждения, сохраняющие собственную автономию;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живые лаборатории для обратимых экспериментов в реальной среде;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мобильный доступ для отдалённых районов и маломобильных жителей;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гражданский цифровой слой с открытыми интерфейсами и журналом происхождения данных;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межгородская сеть обмена протоколами, отрицательными результатами и специалистами.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9B1C1C"/>
          <w:left w:val="single" w:sz="8" w:space="0" w:color="9B1C1C"/>
          <w:bottom w:val="single" w:sz="8" w:space="0" w:color="9B1C1C"/>
          <w:right w:val="single" w:sz="8" w:space="0" w:color="9B1C1C"/>
          <w:insideH w:val="single" w:sz="8" w:space="0" w:color="9B1C1C"/>
          <w:insideV w:val="single" w:sz="8" w:space="0" w:color="9B1C1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DEEEE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9B1C1C"/>
                <w:sz w:val="18"/>
                <w:lang w:val="ru-RU"/>
              </w:rPr>
              <w:t xml:space="preserve">АНТИАНКЛАВ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Если доступ определяется недвижимостью, должностью или платной подпиской, это не общегородская система знания.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07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Узлы знания и непрерывная образовательная траектория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Узел знания — физическое, мобильное или цифровое место, где человек может получить доступ, внести опыт, проверить утверждение или применить знание под ответственным сопровождением.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950"/>
        <w:gridCol w:w="3370"/>
        <w:gridCol w:w="4040"/>
      </w:tblGrid>
      <w:tr>
        <w:trPr>
          <w:tblHeader w:val="true"/>
          <w:cantSplit/>
        </w:trPr>
        <w:tc>
          <w:tcPr>
            <w:tcW w:type="dxa" w:w="19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Тип узла</w:t>
            </w:r>
          </w:p>
        </w:tc>
        <w:tc>
          <w:tcPr>
            <w:tcW w:type="dxa" w:w="337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Вход</w:t>
            </w:r>
          </w:p>
        </w:tc>
        <w:tc>
          <w:tcPr>
            <w:tcW w:type="dxa" w:w="40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Выход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Учебный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Запрос и базовая диагностика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Микрокурс, наставник, подтверждённая компетенция</w:t>
            </w:r>
          </w:p>
        </w:tc>
      </w:tr>
      <w:tr>
        <w:trPr>
          <w:cantSplit/>
        </w:trPr>
        <w:tc>
          <w:tcPr>
            <w:tcW w:type="dxa" w:w="19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Исследовательский</w:t>
            </w:r>
          </w:p>
        </w:tc>
        <w:tc>
          <w:tcPr>
            <w:tcW w:type="dxa" w:w="337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Вопрос и протокол</w:t>
            </w:r>
          </w:p>
        </w:tc>
        <w:tc>
          <w:tcPr>
            <w:tcW w:type="dxa" w:w="40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Данные, неопределённость, воспроизводимый отчёт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Практический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Задача предприятия или сообщества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Обратимый прототип и оценка эффектов</w:t>
            </w:r>
          </w:p>
        </w:tc>
      </w:tr>
      <w:tr>
        <w:trPr>
          <w:cantSplit/>
        </w:trPr>
        <w:tc>
          <w:tcPr>
            <w:tcW w:type="dxa" w:w="19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Архивный</w:t>
            </w:r>
          </w:p>
        </w:tc>
        <w:tc>
          <w:tcPr>
            <w:tcW w:type="dxa" w:w="337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Материал и происхождение</w:t>
            </w:r>
          </w:p>
        </w:tc>
        <w:tc>
          <w:tcPr>
            <w:tcW w:type="dxa" w:w="40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Описание, права доступа, долговременное хранение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Биосферный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Наблюдение среды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Метка, временной ряд, модель и предупреждение</w:t>
            </w:r>
          </w:p>
        </w:tc>
      </w:tr>
      <w:tr>
        <w:trPr>
          <w:cantSplit/>
        </w:trPr>
        <w:tc>
          <w:tcPr>
            <w:tcW w:type="dxa" w:w="19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Гражданский</w:t>
            </w:r>
          </w:p>
        </w:tc>
        <w:tc>
          <w:tcPr>
            <w:tcW w:type="dxa" w:w="337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Предложение, жалоба, локальный опыт</w:t>
            </w:r>
          </w:p>
        </w:tc>
        <w:tc>
          <w:tcPr>
            <w:tcW w:type="dxa" w:w="40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Публичный ответ и трассируемое решение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Образование на протяжении всей жизни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Маршрут строится не по возрастным «коридорам», а по задаче и предыдущему опыту: раннее развитие → школа → профессиональная траектория → высшее образование и исследования → переподготовка → общественное наставничество. Неформальное и местное знание может признаваться после прозрачной оценки, но не подменяет квалификации, где безопасность требует лицензии.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ПРОЕКТНЫЙ NAMESPACE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19"/>
                <w:lang w:val="ru-RU"/>
              </w:rPr>
              <w:t>KCITY:&lt;CITY_UID&gt;:&lt;NODE_TYPE&gt;:&lt;DOMAIN&gt;:&lt;FUNCTION&gt;:&lt;E&gt;@&lt;version&gt;. Это внутренняя схема идентификации узлов и артефактов, а не международный стандарт.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08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От исследования к применению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МИССИОННАЯ ЗАДАЧА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Исследовательская программа начинается не с обещания продукта, а с измеримого общественного вопроса, допустимого риска и маршрута независимой проверки.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650"/>
        <w:gridCol w:w="5460"/>
        <w:gridCol w:w="2250"/>
      </w:tblGrid>
      <w:tr>
        <w:trPr>
          <w:tblHeader w:val="true"/>
          <w:cantSplit/>
        </w:trPr>
        <w:tc>
          <w:tcPr>
            <w:tcW w:type="dxa" w:w="1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Стадия</w:t>
            </w:r>
          </w:p>
        </w:tc>
        <w:tc>
          <w:tcPr>
            <w:tcW w:type="dxa" w:w="54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Обязательный артефакт</w:t>
            </w:r>
          </w:p>
        </w:tc>
        <w:tc>
          <w:tcPr>
            <w:tcW w:type="dxa" w:w="2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Шлюз</w:t>
            </w:r>
          </w:p>
        </w:tc>
      </w:tr>
      <w:tr>
        <w:trPr>
          <w:cantSplit/>
        </w:trPr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Постановка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Measurand, затронутые группы, права и исходный уровень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G0–G2</w:t>
            </w:r>
          </w:p>
        </w:tc>
      </w:tr>
      <w:tr>
        <w:trPr>
          <w:cantSplit/>
        </w:trPr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Метод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Протокол, план качества данных, неопределённость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G3–G4</w:t>
            </w:r>
          </w:p>
        </w:tc>
      </w:tr>
      <w:tr>
        <w:trPr>
          <w:cantSplit/>
        </w:trPr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Пилот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Ограниченный обратимый эксперимент и журнал отклонений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E2 / G5</w:t>
            </w:r>
          </w:p>
        </w:tc>
      </w:tr>
      <w:tr>
        <w:trPr>
          <w:cantSplit/>
        </w:trPr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Проверка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Независимый анализ, повтор или внешняя верификация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E3 / G6</w:t>
            </w:r>
          </w:p>
        </w:tc>
      </w:tr>
      <w:tr>
        <w:trPr>
          <w:cantSplit/>
        </w:trPr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Решение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Человеческое обоснование PASS / REWORK / STOP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G7</w:t>
            </w:r>
          </w:p>
        </w:tc>
      </w:tr>
      <w:tr>
        <w:trPr>
          <w:cantSplit/>
        </w:trPr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Память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Версия, данные, код, права, выводы и отрицательный результат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G8</w:t>
            </w:r>
          </w:p>
        </w:tc>
      </w:tr>
    </w:tbl>
    <w:p>
      <w:pPr>
        <w:spacing w:before="0" w:after="8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Переход к закупке или масштабированию допускается только после проверки полезности в конкретной среде. Публикация научной статьи, патента, демонстрационного ролика или объёма инвестиций не заменяет доказательства общественного эффекта.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Безопасность-критичные решения требуют профильной экспертизы и нормативного соответствия.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Коммерческий партнёр заранее раскрывает конфликты интересов и права на результаты.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Город сохраняет экспорт данных и возможность сменить поставщика без потери архива.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09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Архив наследия и общая память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Архив сохранения наследия Человечества в этом модуле рассматривается как проектная программа: распределённая система сохранения документов, устных историй, языков, методов, биологических и технических наблюдений. Его ценность определяется не объёмом накопления, а происхождением, правами, доступностью и возможностью проверить контекст.</w:t>
      </w:r>
    </w:p>
    <w:p>
      <w:pPr>
        <w:pStyle w:val="Heading2"/>
        <w:keepNext/>
      </w:pPr>
      <w:r>
        <w:t>Минимальная запись происхождения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кто, когда и в каком контексте создал или передал материал;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какие права, согласия, культурные ограничения и сроки доступа действуют;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какие преобразования, переводы, реставрации или модели были применены;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где находятся оригинал, проверочные копии и контрольные суммы;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кто имеет право исправить описание, отозвать доступ или потребовать пересмотра.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ЭТИКА ПАМЯТИ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Открытость не абсолютна. Чувствительное традиционное знание, персональные данные и материалы уязвимых сообществ могут требовать коллективного управления и ограниченного доступа.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100"/>
        <w:gridCol w:w="7260"/>
      </w:tblGrid>
      <w:tr>
        <w:trPr>
          <w:tblHeader w:val="true"/>
          <w:cantSplit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Слой</w:t>
            </w:r>
          </w:p>
        </w:tc>
        <w:tc>
          <w:tcPr>
            <w:tcW w:type="dxa" w:w="7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Режим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Публичный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Открытая лицензия, машиночитаемое описание, доступная версия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Исследовательский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Контролируемый доступ, договор цели, журнал использования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Охраняемый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Совет хранителей, культурные протоколы, запрет вторичного использования</w:t>
            </w:r>
          </w:p>
        </w:tc>
      </w:tr>
    </w:tbl>
    <w:p>
      <w:pPr>
        <w:spacing w:before="0" w:after="8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10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Федеративный слой знаний и данных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Федеративная архитектура оставляет данные у ответственных держателей и соединяет их согласованными идентификаторами, словарями, интерфейсами и правилами доступа. Общегородской каталог описывает, что существует и на каких условиях доступно; он не обязан копировать всё в единое хранилище.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100"/>
        <w:gridCol w:w="3560"/>
        <w:gridCol w:w="3700"/>
      </w:tblGrid>
      <w:tr>
        <w:trPr>
          <w:tblHeader w:val="true"/>
          <w:cantSplit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Слой</w:t>
            </w:r>
          </w:p>
        </w:tc>
        <w:tc>
          <w:tcPr>
            <w:tcW w:type="dxa" w:w="35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Назначение</w:t>
            </w:r>
          </w:p>
        </w:tc>
        <w:tc>
          <w:tcPr>
            <w:tcW w:type="dxa" w:w="3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Минимальная защита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Каталог / семантика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Поиск наборов, терминов, версий и владельцев</w:t>
            </w:r>
          </w:p>
        </w:tc>
        <w:tc>
          <w:tcPr>
            <w:tcW w:type="dxa" w:w="3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Происхождение и контроль словаря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Доверенные обмены</w:t>
            </w:r>
          </w:p>
        </w:tc>
        <w:tc>
          <w:tcPr>
            <w:tcW w:type="dxa" w:w="35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Передача разрешённых данных между доменами</w:t>
            </w:r>
          </w:p>
        </w:tc>
        <w:tc>
          <w:tcPr>
            <w:tcW w:type="dxa" w:w="3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Политики цели, журнал, шифрование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GRID / метакомпьютеры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Распределённые большие вычисления</w:t>
            </w:r>
          </w:p>
        </w:tc>
        <w:tc>
          <w:tcPr>
            <w:tcW w:type="dxa" w:w="3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Изоляция задач, лимиты, воспроизводимость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Аналитика / модели</w:t>
            </w:r>
          </w:p>
        </w:tc>
        <w:tc>
          <w:tcPr>
            <w:tcW w:type="dxa" w:w="35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Сценарии, прогнозы и поддержка решений</w:t>
            </w:r>
          </w:p>
        </w:tc>
        <w:tc>
          <w:tcPr>
            <w:tcW w:type="dxa" w:w="3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Карточка модели, качество, дрейф, human review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Публичный интерфейс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Дашборды, запросы, участие</w:t>
            </w:r>
          </w:p>
        </w:tc>
        <w:tc>
          <w:tcPr>
            <w:tcW w:type="dxa" w:w="3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Доступность, агрегация, защита от повторной идентификации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ПРИНЦИП МИНИМАЛЬНОСТИ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Собирать не «всё возможное», а только то, что необходимо для заявленной общественной задачи и может быть ответственно защищено.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Проекты «Вычислительный GRID», «Метакомпьютеры» и «Федеративные базы» включаются как кандидаты инфраструктурного слоя. Их масштаб, безопасность и экономическая целесообразность должны быть доказаны отдельно; упоминание не означает готовность технологии.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11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ИИ, данные и права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9B1C1C"/>
          <w:left w:val="single" w:sz="8" w:space="0" w:color="9B1C1C"/>
          <w:bottom w:val="single" w:sz="8" w:space="0" w:color="9B1C1C"/>
          <w:right w:val="single" w:sz="8" w:space="0" w:color="9B1C1C"/>
          <w:insideH w:val="single" w:sz="8" w:space="0" w:color="9B1C1C"/>
          <w:insideV w:val="single" w:sz="8" w:space="0" w:color="9B1C1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DEEEE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9B1C1C"/>
                <w:sz w:val="18"/>
                <w:lang w:val="ru-RU"/>
              </w:rPr>
              <w:t xml:space="preserve">КРАСНАЯ ЛИНИЯ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Персональные данные жителей не являются источником скрытой ренты. Финансирование Города Знания не строится на продаже профилей, поведенческом таргетинге или принуждении к обмену данными на базовую услугу.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600"/>
        <w:gridCol w:w="4120"/>
        <w:gridCol w:w="3640"/>
      </w:tblGrid>
      <w:tr>
        <w:trPr>
          <w:tblHeader w:val="true"/>
          <w:cantSplit/>
        </w:trPr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Контроль</w:t>
            </w:r>
          </w:p>
        </w:tc>
        <w:tc>
          <w:tcPr>
            <w:tcW w:type="dxa" w:w="41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Вопрос до запуска</w:t>
            </w:r>
          </w:p>
        </w:tc>
        <w:tc>
          <w:tcPr>
            <w:tcW w:type="dxa" w:w="36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Доказательство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Необходимость</w:t>
            </w:r>
          </w:p>
        </w:tc>
        <w:tc>
          <w:tcPr>
            <w:tcW w:type="dxa" w:w="4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Можно ли решить задачу без ИИ или с меньшим объёмом данных?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Анализ альтернатив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Законность / права</w:t>
            </w:r>
          </w:p>
        </w:tc>
        <w:tc>
          <w:tcPr>
            <w:tcW w:type="dxa" w:w="4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Есть ли основание, согласие и доступная альтернатива?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Реестр обработки и оценка воздействия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Качество</w:t>
            </w:r>
          </w:p>
        </w:tc>
        <w:tc>
          <w:tcPr>
            <w:tcW w:type="dxa" w:w="4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Репрезентативны ли данные и известна ли ошибка?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Data card, тесты смещения, неопределённость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Надзор</w:t>
            </w:r>
          </w:p>
        </w:tc>
        <w:tc>
          <w:tcPr>
            <w:tcW w:type="dxa" w:w="4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Кто отвечает и кто может остановить?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RACI, журнал решений, stop-процедура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Оспоримость</w:t>
            </w:r>
          </w:p>
        </w:tc>
        <w:tc>
          <w:tcPr>
            <w:tcW w:type="dxa" w:w="4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Как человек узнает, объяснит и исправит результат?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Уведомление, апелляция, SLA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Жизненный цикл</w:t>
            </w:r>
          </w:p>
        </w:tc>
        <w:tc>
          <w:tcPr>
            <w:tcW w:type="dxa" w:w="4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Что происходит при дрейфе, смене цели или закрытии?</w:t>
            </w:r>
          </w:p>
        </w:tc>
        <w:tc>
          <w:tcPr>
            <w:tcW w:type="dxa" w:w="3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Мониторинг, отзыв, удаление и архив</w:t>
            </w:r>
          </w:p>
        </w:tc>
      </w:tr>
    </w:tbl>
    <w:p>
      <w:pPr>
        <w:spacing w:before="0" w:after="8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Рекомендация UNESCO об этике ИИ используется как нормативный ориентир. Для конкретного применения дополнительно проверяются применимое право, отраслевые требования и локальные процедуры закупки. Высокий средний KPI не может компенсировать дискриминацию или нарушение базовых прав.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12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Биосфера, вода и продовольственная безопасность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Город рассматривается как часть водосбора, почвенного и пищевого ландшафта. Контур объединяет наблюдение, образование и практику: школьные и университетские лаборатории, городские фермы, водоканалы, природные территории, рынки и предприятия работают по сопоставимым протоколам.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700"/>
        <w:gridCol w:w="3520"/>
        <w:gridCol w:w="4140"/>
      </w:tblGrid>
      <w:tr>
        <w:trPr>
          <w:tblHeader w:val="true"/>
          <w:cantSplit/>
        </w:trP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Объект</w:t>
            </w:r>
          </w:p>
        </w:tc>
        <w:tc>
          <w:tcPr>
            <w:tcW w:type="dxa" w:w="35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Наблюдение</w:t>
            </w:r>
          </w:p>
        </w:tc>
        <w:tc>
          <w:tcPr>
            <w:tcW w:type="dxa" w:w="41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Решение, которое можно проверить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Вода</w:t>
            </w:r>
          </w:p>
        </w:tc>
        <w:tc>
          <w:tcPr>
            <w:tcW w:type="dxa" w:w="3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Качество, расход, утечки, сезонность</w:t>
            </w:r>
          </w:p>
        </w:tc>
        <w:tc>
          <w:tcPr>
            <w:tcW w:type="dxa" w:w="4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Снижение потерь без ухудшения доступности</w:t>
            </w:r>
          </w:p>
        </w:tc>
      </w:tr>
      <w:tr>
        <w:trPr>
          <w:cantSplit/>
        </w:trPr>
        <w:tc>
          <w:tcPr>
            <w:tcW w:type="dxa" w:w="1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Почва</w:t>
            </w:r>
          </w:p>
        </w:tc>
        <w:tc>
          <w:tcPr>
            <w:tcW w:type="dxa" w:w="35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Органическое вещество, загрязнения, структура</w:t>
            </w:r>
          </w:p>
        </w:tc>
        <w:tc>
          <w:tcPr>
            <w:tcW w:type="dxa" w:w="41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Восстановление участка по контрольным точкам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Биоразнообразие</w:t>
            </w:r>
          </w:p>
        </w:tc>
        <w:tc>
          <w:tcPr>
            <w:tcW w:type="dxa" w:w="3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Виды, местообитания, связность</w:t>
            </w:r>
          </w:p>
        </w:tc>
        <w:tc>
          <w:tcPr>
            <w:tcW w:type="dxa" w:w="4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Защита и восстановление с независимым мониторингом</w:t>
            </w:r>
          </w:p>
        </w:tc>
      </w:tr>
      <w:tr>
        <w:trPr>
          <w:cantSplit/>
        </w:trPr>
        <w:tc>
          <w:tcPr>
            <w:tcW w:type="dxa" w:w="1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Пища</w:t>
            </w:r>
          </w:p>
        </w:tc>
        <w:tc>
          <w:tcPr>
            <w:tcW w:type="dxa" w:w="35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Происхождение, потери, доступность, питательность</w:t>
            </w:r>
          </w:p>
        </w:tc>
        <w:tc>
          <w:tcPr>
            <w:tcW w:type="dxa" w:w="41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Устойчивая цепочка полного цикла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Энергия / материал</w:t>
            </w:r>
          </w:p>
        </w:tc>
        <w:tc>
          <w:tcPr>
            <w:tcW w:type="dxa" w:w="3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Потоки, выбросы, отходы</w:t>
            </w:r>
          </w:p>
        </w:tc>
        <w:tc>
          <w:tcPr>
            <w:tcW w:type="dxa" w:w="4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Сокращение воздействия без переноса ущерба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БИОЦЕНОЗНАЯ МЕТКА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Проектная метка связывает наблюдение с местом, временем, методом, единицами, качеством, неопределённостью, правами и версией. Она не является экологическим сертификатом без внешней схемы оценки.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Проект «Биоценоз и ферма полного цикла» включается как лаборатория продовольственной безопасности. До масштабирования проверяются санитария, экономика, труд, благополучие животных, вода, почва, биоразнообразие и доступность питания.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13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Динамическая модель биосферы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НАЗНАЧЕНИЕ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Модель не «предсказывает природу вообще». Она объединяет наблюдения и сценарии, чтобы сравнивать ограниченный набор решений, показывать неопределённость и заранее видеть пороги риска.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750"/>
        <w:gridCol w:w="4270"/>
        <w:gridCol w:w="3340"/>
      </w:tblGrid>
      <w:tr>
        <w:trPr>
          <w:tblHeader w:val="true"/>
          <w:cantSplit/>
        </w:trP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Компонент</w:t>
            </w:r>
          </w:p>
        </w:tc>
        <w:tc>
          <w:tcPr>
            <w:tcW w:type="dxa" w:w="427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Содержание</w:t>
            </w:r>
          </w:p>
        </w:tc>
        <w:tc>
          <w:tcPr>
            <w:tcW w:type="dxa" w:w="33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Контроль качества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Состояние x(t)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Вода, почва, растительность, виды, климатические и антропогенные факторы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Единицы, география, временной шаг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Воздействия u(t)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Строительство, землепользование, производство, восстановительные меры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Сценарий и ответственный владелец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Переход F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Гипотезы о динамике и взаимосвязях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Калибровка, чувствительность, внешняя проверка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Наблюдение y(t)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Датчики, лаборатории, дистанционное и гражданское наблюдение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Прослеживаемость, QA/QC, неопределённость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Решение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План, предупреждение, ограничение или остановка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Человеческое обоснование и журнал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ФОРМАЛЬНАЯ РАМКА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0"/>
                <w:lang w:val="ru-RU"/>
              </w:rPr>
              <w:t>x(t+1) = F(x(t), u(t), θ) + ε;  y(t) = H(x(t)) + η. Параметры θ, ошибки ε/η и область применимости публикуются вместе с результатом.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Модель хранит несколько сценариев и не сворачивает биосферу в один индекс. Порог тревоги определяется совместно с профильными специалистами и сообществами, а предупреждение всегда содержит источник, время, географию и уверенность.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14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Управление G0–G8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G0–G8 — единый маршрут проектного решения. Каждый шлюз имеет владельца, вход, выход и право вернуть работу на доработку или остановить её.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800"/>
        <w:gridCol w:w="4380"/>
        <w:gridCol w:w="3180"/>
      </w:tblGrid>
      <w:tr>
        <w:trPr>
          <w:tblHeader w:val="true"/>
          <w:cantSplit/>
        </w:trP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Шлюз</w:t>
            </w:r>
          </w:p>
        </w:tc>
        <w:tc>
          <w:tcPr>
            <w:tcW w:type="dxa" w:w="43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Контрольный вопрос</w:t>
            </w:r>
          </w:p>
        </w:tc>
        <w:tc>
          <w:tcPr>
            <w:tcW w:type="dxa" w:w="31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Выход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G0 Смысл</w:t>
            </w:r>
          </w:p>
        </w:tc>
        <w:tc>
          <w:tcPr>
            <w:tcW w:type="dxa" w:w="43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Какой общественный вызов и для кого?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Краткое обоснование</w:t>
            </w:r>
          </w:p>
        </w:tc>
      </w:tr>
      <w:tr>
        <w:trPr>
          <w:cantSplit/>
        </w:trPr>
        <w:tc>
          <w:tcPr>
            <w:tcW w:type="dxa" w:w="1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G1 Права</w:t>
            </w:r>
          </w:p>
        </w:tc>
        <w:tc>
          <w:tcPr>
            <w:tcW w:type="dxa" w:w="43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Чьи права и риски затронуты?</w:t>
            </w:r>
          </w:p>
        </w:tc>
        <w:tc>
          <w:tcPr>
            <w:tcW w:type="dxa" w:w="31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Оценка воздействия и защита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G2 Measurand</w:t>
            </w:r>
          </w:p>
        </w:tc>
        <w:tc>
          <w:tcPr>
            <w:tcW w:type="dxa" w:w="43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Что именно измеряем?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Определение, единица, исходный уровень</w:t>
            </w:r>
          </w:p>
        </w:tc>
      </w:tr>
      <w:tr>
        <w:trPr>
          <w:cantSplit/>
        </w:trPr>
        <w:tc>
          <w:tcPr>
            <w:tcW w:type="dxa" w:w="1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G3 Протокол</w:t>
            </w:r>
          </w:p>
        </w:tc>
        <w:tc>
          <w:tcPr>
            <w:tcW w:type="dxa" w:w="43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Как получим сопоставимый результат?</w:t>
            </w:r>
          </w:p>
        </w:tc>
        <w:tc>
          <w:tcPr>
            <w:tcW w:type="dxa" w:w="31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Предзарегистрированный метод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G4 Данные / QA / U</w:t>
            </w:r>
          </w:p>
        </w:tc>
        <w:tc>
          <w:tcPr>
            <w:tcW w:type="dxa" w:w="43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Надёжны ли данные и какова неопределённость?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План качества и U-бюджет</w:t>
            </w:r>
          </w:p>
        </w:tc>
      </w:tr>
      <w:tr>
        <w:trPr>
          <w:cantSplit/>
        </w:trPr>
        <w:tc>
          <w:tcPr>
            <w:tcW w:type="dxa" w:w="1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G5 E-gate</w:t>
            </w:r>
          </w:p>
        </w:tc>
        <w:tc>
          <w:tcPr>
            <w:tcW w:type="dxa" w:w="43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Какой уровень доказательств достигнут?</w:t>
            </w:r>
          </w:p>
        </w:tc>
        <w:tc>
          <w:tcPr>
            <w:tcW w:type="dxa" w:w="31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E0–E4 и ограничения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G6 Независимая проверка</w:t>
            </w:r>
          </w:p>
        </w:tc>
        <w:tc>
          <w:tcPr>
            <w:tcW w:type="dxa" w:w="43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Кто проверил вне команды?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Отчёт проверки / повтор</w:t>
            </w:r>
          </w:p>
        </w:tc>
      </w:tr>
      <w:tr>
        <w:trPr>
          <w:cantSplit/>
        </w:trPr>
        <w:tc>
          <w:tcPr>
            <w:tcW w:type="dxa" w:w="1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G7 Human decision</w:t>
            </w:r>
          </w:p>
        </w:tc>
        <w:tc>
          <w:tcPr>
            <w:tcW w:type="dxa" w:w="43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Кто принимает ответственность?</w:t>
            </w:r>
          </w:p>
        </w:tc>
        <w:tc>
          <w:tcPr>
            <w:tcW w:type="dxa" w:w="31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PASS / REWORK / STOP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G8 Архив и надзор</w:t>
            </w:r>
          </w:p>
        </w:tc>
        <w:tc>
          <w:tcPr>
            <w:tcW w:type="dxa" w:w="43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Можно ли восстановить и пересмотреть?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Версия, журнал, срок ревизии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РЕШЕНИЕ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PASS — продолжить в пределах мандата; REWORK — устранить конкретный пробел и вернуться на указанный шлюз; STOP — безопасно остановить, уведомить затронутых лиц и сохранить уроки.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15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Доказательства E0–E4 и карта валидации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300"/>
        <w:gridCol w:w="3800"/>
        <w:gridCol w:w="4260"/>
      </w:tblGrid>
      <w:tr>
        <w:trPr>
          <w:tblHeader w:val="true"/>
          <w:cantSplit/>
        </w:trPr>
        <w:tc>
          <w:tcPr>
            <w:tcW w:type="dxa" w:w="1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Уровень</w:t>
            </w:r>
          </w:p>
        </w:tc>
        <w:tc>
          <w:tcPr>
            <w:tcW w:type="dxa" w:w="3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Каноническое значение</w:t>
            </w:r>
          </w:p>
        </w:tc>
        <w:tc>
          <w:tcPr>
            <w:tcW w:type="dxa" w:w="4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Что разрешено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E0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Символ / образ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Обсуждать смысл; не заявлять эффект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E1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Гипотеза / модель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Проектировать проверку; явно назвать допущения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E2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Наблюдение / ограниченный пилот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Действовать только в границах пилота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E3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Независимая проверка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Сравнивать и готовить контролируемое расширение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E4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Валидированный воспроизводимый результат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Масштабировать в подтверждённой области применимости</w:t>
            </w:r>
          </w:p>
        </w:tc>
      </w:tr>
    </w:tbl>
    <w:p>
      <w:pPr>
        <w:spacing w:before="0" w:after="8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E-уровень описывает силу доказательств, а не моральную ценность идеи. Он присваивается отдельному утверждению: один проект может иметь E3 по доступности и E1 по долгосрочному экологическому эффекту.</w:t>
      </w:r>
    </w:p>
    <w:p>
      <w:pPr>
        <w:pStyle w:val="Heading2"/>
        <w:keepNext/>
      </w:pPr>
      <w:r>
        <w:t>Карта валидации утверждения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Утверждение и измеряемая величина: что именно должно измениться и в каких единицах.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Контекст и границы: население, место, период, исключения и допустимый риск.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Метод и данные: протокол, происхождение, качество, неопределённость и версия.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Результат и альтернативы: величина эффекта, распределение, побочные эффекты, конкурирующие объяснения.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Проверка и решение: независимый рецензент, E-уровень, G-шлюз, PASS / REWORK / STOP и дата пересмотра.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9B1C1C"/>
          <w:left w:val="single" w:sz="8" w:space="0" w:color="9B1C1C"/>
          <w:bottom w:val="single" w:sz="8" w:space="0" w:color="9B1C1C"/>
          <w:right w:val="single" w:sz="8" w:space="0" w:color="9B1C1C"/>
          <w:insideH w:val="single" w:sz="8" w:space="0" w:color="9B1C1C"/>
          <w:insideV w:val="single" w:sz="8" w:space="0" w:color="9B1C1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DEEEE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9B1C1C"/>
                <w:sz w:val="18"/>
                <w:lang w:val="ru-RU"/>
              </w:rPr>
              <w:t xml:space="preserve">ЗАПРЕТ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Нельзя повышать E-уровень по числу упоминаний, объёму инвестиций, авторитету сторонника или красоте визуализации.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16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Паспорт Города Знания и показатели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Паспорт — обновляемый публичный профиль города, а не рейтинг людей и не знак сертификации. Он сочетает контекст, исходные значения, цели, распределение результата и качество доказательств.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750"/>
        <w:gridCol w:w="5400"/>
        <w:gridCol w:w="2210"/>
      </w:tblGrid>
      <w:tr>
        <w:trPr>
          <w:tblHeader w:val="true"/>
          <w:cantSplit/>
        </w:trP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Блок паспорта</w:t>
            </w:r>
          </w:p>
        </w:tc>
        <w:tc>
          <w:tcPr>
            <w:tcW w:type="dxa" w:w="5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Примеры показателей</w:t>
            </w:r>
          </w:p>
        </w:tc>
        <w:tc>
          <w:tcPr>
            <w:tcW w:type="dxa" w:w="22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Разрез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Доступ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Время до узла; стоимость; доля доступных форматов; охват взрослых</w:t>
            </w:r>
          </w:p>
        </w:tc>
        <w:tc>
          <w:tcPr>
            <w:tcW w:type="dxa" w:w="22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Район, возраст, доход, ограничения</w:t>
            </w:r>
          </w:p>
        </w:tc>
      </w:tr>
      <w:tr>
        <w:trPr>
          <w:cantSplit/>
        </w:trPr>
        <w:tc>
          <w:tcPr>
            <w:tcW w:type="dxa" w:w="17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Взаимность</w:t>
            </w:r>
          </w:p>
        </w:tc>
        <w:tc>
          <w:tcPr>
            <w:tcW w:type="dxa" w:w="54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Доля программ совместного проектирования; число вкладов жителей с публичным ответом</w:t>
            </w:r>
          </w:p>
        </w:tc>
        <w:tc>
          <w:tcPr>
            <w:tcW w:type="dxa" w:w="22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Группа участника и тип ответа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Трансформация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Доля пилотов с измеренным эффектом; время от вопроса до решения; повторяемость</w:t>
            </w:r>
          </w:p>
        </w:tc>
        <w:tc>
          <w:tcPr>
            <w:tcW w:type="dxa" w:w="22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Контур, E-уровень, эффект</w:t>
            </w:r>
          </w:p>
        </w:tc>
      </w:tr>
      <w:tr>
        <w:trPr>
          <w:cantSplit/>
        </w:trPr>
        <w:tc>
          <w:tcPr>
            <w:tcW w:type="dxa" w:w="17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Память</w:t>
            </w:r>
          </w:p>
        </w:tc>
        <w:tc>
          <w:tcPr>
            <w:tcW w:type="dxa" w:w="54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Доля решений с происхождением; доступность архива; сохранность версий и отрицательных результатов</w:t>
            </w:r>
          </w:p>
        </w:tc>
        <w:tc>
          <w:tcPr>
            <w:tcW w:type="dxa" w:w="22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Тип записи, права, срок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Права и доверие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Жалобы, сроки исправления, отказы, утечки, понятность уведомлений</w:t>
            </w:r>
          </w:p>
        </w:tc>
        <w:tc>
          <w:tcPr>
            <w:tcW w:type="dxa" w:w="22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Сервис, риск, итог</w:t>
            </w:r>
          </w:p>
        </w:tc>
      </w:tr>
      <w:tr>
        <w:trPr>
          <w:cantSplit/>
        </w:trPr>
        <w:tc>
          <w:tcPr>
            <w:tcW w:type="dxa" w:w="17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Устойчивость</w:t>
            </w:r>
          </w:p>
        </w:tc>
        <w:tc>
          <w:tcPr>
            <w:tcW w:type="dxa" w:w="54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Вода, энергия, почва, биоразнообразие, пищевые потери</w:t>
            </w:r>
          </w:p>
        </w:tc>
        <w:tc>
          <w:tcPr>
            <w:tcW w:type="dxa" w:w="22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Территория и сезон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ЧЕТЫРЕ НЕЗАВИСИМЫХ ВЕКТОРА ПЛОТНОСТИ ЗНАНИЯ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Доступ • взаимность • трансформация • память. Они показываются отдельно, с распределением и неопределённостью; единый итоговый балл не рассчитывается.</w:t>
            </w:r>
          </w:p>
        </w:tc>
      </w:tr>
    </w:tbl>
    <w:p>
      <w:pPr>
        <w:spacing w:after="40"/>
      </w:pPr>
    </w:p>
    <w:p>
      <w:pPr>
        <w:pStyle w:val="KRPICaption"/>
        <w:spacing w:before="80" w:after="80"/>
      </w:pPr>
      <w:r>
        <w:t>U4SSC и ISO 37120/37122/37123 используются как каталоги и методы сопоставления. Целевые пороги устанавливаются локально и не приписываются стандартам.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17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Финансирование и архитектура фондов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Финансовая система должна отделять долгоживущую инфраструктуру от рискованных экспериментов и сохранять независимость проверки. Личные и именные фонды могут поддерживать миссии, но не получают права скрыто менять критерии, управлять данными жителей или обходить публичный надзор.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000"/>
        <w:gridCol w:w="3900"/>
        <w:gridCol w:w="3460"/>
      </w:tblGrid>
      <w:tr>
        <w:trPr>
          <w:tblHeader w:val="true"/>
          <w:cantSplit/>
        </w:trPr>
        <w:tc>
          <w:tcPr>
            <w:tcW w:type="dxa" w:w="2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Контур</w:t>
            </w:r>
          </w:p>
        </w:tc>
        <w:tc>
          <w:tcPr>
            <w:tcW w:type="dxa" w:w="3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Назначение</w:t>
            </w:r>
          </w:p>
        </w:tc>
        <w:tc>
          <w:tcPr>
            <w:tcW w:type="dxa" w:w="34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Условие выделения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Базовая инфраструктура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Библиотеки, связь, доступность, архив, общие данные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Публичный мандат и жизненный цикл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Миссионный портфель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Исследования и межсекторные программы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G0–G4, этапное финансирование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Микрогранты сообществ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Локальные вопросы и гражданская наука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Простой конкурс, наставничество, открытый результат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Независимая оценка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Проверка E-уровней, прав и эффектов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Организационная и бюджетная независимость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Резерв и выход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Безопасная остановка, переносимость, восстановление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Предварительно профинансированный exit-план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Финансовые правила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Деньги следуют за доказательствами: транши привязаны к G-шлюзам и E-уровням, а не к рекламным метрикам.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Права на публично профинансированные данные и методы не должны создавать невозвратимую зависимость от поставщика.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Монетизация персональных данных и принудительная реклама исключены из модели дохода.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Отрицательный результат при соблюдённом протоколе считается общественно полезным знанием, а не основанием скрыть отчёт.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18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Карта интеграции корпуса Белой Книги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Темы предыдущих работ включаются как проектные модули и гипотезы. Карта показывает место в архитектуре, но не подтверждает их научную, техническую, экономическую или юридическую готовность.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850"/>
        <w:gridCol w:w="4480"/>
        <w:gridCol w:w="2030"/>
      </w:tblGrid>
      <w:tr>
        <w:trPr>
          <w:tblHeader w:val="true"/>
          <w:cantSplit/>
        </w:trPr>
        <w:tc>
          <w:tcPr>
            <w:tcW w:type="dxa" w:w="28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Модуль корпуса</w:t>
            </w:r>
          </w:p>
        </w:tc>
        <w:tc>
          <w:tcPr>
            <w:tcW w:type="dxa" w:w="44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Роль в Городе Знания</w:t>
            </w:r>
          </w:p>
        </w:tc>
        <w:tc>
          <w:tcPr>
            <w:tcW w:type="dxa" w:w="203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Стартовый статус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Белая Книга Судьбы</w:t>
            </w:r>
          </w:p>
        </w:tc>
        <w:tc>
          <w:tcPr>
            <w:tcW w:type="dxa" w:w="4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Мастер-архив терминов, решений и версий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Проектная система</w:t>
            </w:r>
          </w:p>
        </w:tc>
      </w:tr>
      <w:tr>
        <w:trPr>
          <w:cantSplit/>
        </w:trPr>
        <w:tc>
          <w:tcPr>
            <w:tcW w:type="dxa" w:w="28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Архив наследия Человечества</w:t>
            </w:r>
          </w:p>
        </w:tc>
        <w:tc>
          <w:tcPr>
            <w:tcW w:type="dxa" w:w="44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Происхождение, сохранение и культурные права</w:t>
            </w:r>
          </w:p>
        </w:tc>
        <w:tc>
          <w:tcPr>
            <w:tcW w:type="dxa" w:w="20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Кандидат программы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Динамическая модель биосферы</w:t>
            </w:r>
          </w:p>
        </w:tc>
        <w:tc>
          <w:tcPr>
            <w:tcW w:type="dxa" w:w="4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Сценарии воды, почвы и экосистем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E1 до локальной калибровки</w:t>
            </w:r>
          </w:p>
        </w:tc>
      </w:tr>
      <w:tr>
        <w:trPr>
          <w:cantSplit/>
        </w:trPr>
        <w:tc>
          <w:tcPr>
            <w:tcW w:type="dxa" w:w="28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Продовольственная безопасность / ферма полного цикла</w:t>
            </w:r>
          </w:p>
        </w:tc>
        <w:tc>
          <w:tcPr>
            <w:tcW w:type="dxa" w:w="44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Живая лаборатория цепочки питания</w:t>
            </w:r>
          </w:p>
        </w:tc>
        <w:tc>
          <w:tcPr>
            <w:tcW w:type="dxa" w:w="20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E1–E2 по отдельным пилотам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GRID / метакомпьютеры / федеративные базы</w:t>
            </w:r>
          </w:p>
        </w:tc>
        <w:tc>
          <w:tcPr>
            <w:tcW w:type="dxa" w:w="4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Вычислительный и дата-слой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Кандидат архитектуры</w:t>
            </w:r>
          </w:p>
        </w:tc>
      </w:tr>
      <w:tr>
        <w:trPr>
          <w:cantSplit/>
        </w:trPr>
        <w:tc>
          <w:tcPr>
            <w:tcW w:type="dxa" w:w="28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Символические системы и языки</w:t>
            </w:r>
          </w:p>
        </w:tc>
        <w:tc>
          <w:tcPr>
            <w:tcW w:type="dxa" w:w="44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Культурная навигация и семантические гипотезы</w:t>
            </w:r>
          </w:p>
        </w:tc>
        <w:tc>
          <w:tcPr>
            <w:tcW w:type="dxa" w:w="20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E0–E1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Система фондов / финансовая система</w:t>
            </w:r>
          </w:p>
        </w:tc>
        <w:tc>
          <w:tcPr>
            <w:tcW w:type="dxa" w:w="4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Миссионное и этапное финансирование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Проектная модель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РЕЕСТРОВАЯ НЕПРЕРЫВНОСТЬ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BKS-0233…BKS-0235 связываются перекрёстными ссылками; новые базовые номера не создаются. Базовый реестр остаётся равным 344.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19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Пилот 1. Обучающийся район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ГИПОТЕЗА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Если связать школу, библиотеку, колледж, музей, клуб занятости и мобильный доступ единым маршрутом, жители быстрее находят подходящее обучение и завершают его без роста цифрового исключения.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050"/>
        <w:gridCol w:w="7310"/>
      </w:tblGrid>
      <w:tr>
        <w:trPr>
          <w:tblHeader w:val="true"/>
          <w:cantSplit/>
        </w:trPr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Элемент</w:t>
            </w:r>
          </w:p>
        </w:tc>
        <w:tc>
          <w:tcPr>
            <w:tcW w:type="dxa" w:w="73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Дизайн пилота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Граница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Один район; 2–3 учебных узла и мобильная команда; 9 месяцев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Участники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Жители разных возрастов, включая людей с инвалидностью, мигрантов и безработных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Интервенция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Единое окно, навигатор компетенций, наставники, признание предыдущего опыта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Сравнение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Исходный уровень и сопоставимый район/период, где применимо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Метрики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Время доступа, завершение, переход к следующему шагу, удовлетворённость, жалобы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Stop-rule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Рост исключения, непрозрачное профилирование или отсутствие офлайн-альтернативы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Пакет доказательств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Карта барьеров и исходные данные до запуска.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Протокол согласия и минимизации данных.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Независимая проверка доступности и распределения эффекта.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Архив маршрутов, отказов, жалоб и исправлений.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ЦЕЛЬ ЭТАПА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E2 по доступности и прохождению маршрута; решение о расширении только после внешней проверки.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20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Пилот 2. Наука — ответственное производство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ГИПОТЕЗА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Совместная лаборатория университета, МСП и жителей может уменьшить материальные, энергетические или водные потери, если эффект измеряется независимо и не переносит ущерб на работников или окружающую среду.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050"/>
        <w:gridCol w:w="7310"/>
      </w:tblGrid>
      <w:tr>
        <w:trPr>
          <w:tblHeader w:val="true"/>
          <w:cantSplit/>
        </w:trPr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Элемент</w:t>
            </w:r>
          </w:p>
        </w:tc>
        <w:tc>
          <w:tcPr>
            <w:tcW w:type="dxa" w:w="73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Дизайн пилота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Граница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Одна производственная цепочка; до трёх предприятий; 12 месяцев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Вопрос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Конкретный измеряемый поток: вода, энергия, сырьё или отход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Метод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Открытый протокол измерений, U-бюджет, версия оборудования и ПО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Защита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Охрана труда, коммерческая тайна по минимуму, права работников на участие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Метрики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Абсолютный и удельный эффект, стоимость владения, безопасность, перенос ущерба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Stop-rule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Невоспроизводимый эффект, рост риска труда или закрытая зависимость от поставщика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Выходы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Воспроизводимый метод и публичное описание области применимости.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Подготовленная образовательная программа для инженеров, рабочих и предпринимателей.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Решение PASS / REWORK / STOP с независимой подписью G6 и человеческой ответственностью G7.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ЦЕЛЬ ЭТАПА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E2 по эффекту в пилоте; E3 только после независимой проверки или повторения на сопоставимой площадке.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21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Пилот 3. Биосферный и пищевой контур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ГИПОТЕЗА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Связанные наблюдения воды, почвы, биоразнообразия и пищевой цепочки позволяют раньше выявлять риск и выбирать восстановительные меры с измеримым локальным эффектом.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050"/>
        <w:gridCol w:w="7310"/>
      </w:tblGrid>
      <w:tr>
        <w:trPr>
          <w:tblHeader w:val="true"/>
          <w:cantSplit/>
        </w:trPr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Элемент</w:t>
            </w:r>
          </w:p>
        </w:tc>
        <w:tc>
          <w:tcPr>
            <w:tcW w:type="dxa" w:w="73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Дизайн пилота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Территория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Малый водосбор, прилегающие зелёные зоны и ферма полного цикла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Наблюдение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Сезонный базовый цикл; лабораторные, дистанционные и гражданские данные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Интервенция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Одна обратимая мера для воды/почвы и одна мера пищевых потерь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Модель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Сценарии с неопределённостью; запрет на автоматическое управленческое решение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Метрики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Качество воды, почва, местообитания, потери пищи, стоимость и доступность</w:t>
            </w:r>
          </w:p>
        </w:tc>
      </w:tr>
      <w:tr>
        <w:trPr>
          <w:cantSplit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Stop-rule</w:t>
            </w:r>
          </w:p>
        </w:tc>
        <w:tc>
          <w:tcPr>
            <w:tcW w:type="dxa" w:w="7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Риск здоровью, деградация контрольного показателя или невозможность атрибуции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Пакет открытости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Карта станций и биоценозные метки с происхождением.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Публичная карточка модели, версий и известных ограничений.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Согласованный протокол оповещения и человеческого решения.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ЦЕЛЬ ЭТАПА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E2 по мониторингу и отдельной восстановительной мере; долгосрочные экологические эффекты остаются на E1–E2 до накопления ряда и внешней проверки.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22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Дорожная карта на 36 месяцев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Сроки — ориентир для этапного решения, а не обещание результата. Каждый переход требует выполненного G-шлюза и достаточного E-уровня; календарь не повышает доказательность.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600"/>
        <w:gridCol w:w="4420"/>
        <w:gridCol w:w="3340"/>
      </w:tblGrid>
      <w:tr>
        <w:trPr>
          <w:tblHeader w:val="true"/>
          <w:cantSplit/>
        </w:trPr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Период</w:t>
            </w:r>
          </w:p>
        </w:tc>
        <w:tc>
          <w:tcPr>
            <w:tcW w:type="dxa" w:w="44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Фокус</w:t>
            </w:r>
          </w:p>
        </w:tc>
        <w:tc>
          <w:tcPr>
            <w:tcW w:type="dxa" w:w="33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Обязательный выход / gate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0–3 мес.</w:t>
            </w:r>
          </w:p>
        </w:tc>
        <w:tc>
          <w:tcPr>
            <w:tcW w:type="dxa" w:w="4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Мандат, права, карта узлов, вопросы и исходные данные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G0–G2; решение о дизайне пилотов</w:t>
            </w:r>
          </w:p>
        </w:tc>
      </w:tr>
      <w:tr>
        <w:trPr>
          <w:cantSplit/>
        </w:trPr>
        <w:tc>
          <w:tcPr>
            <w:tcW w:type="dxa" w:w="16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4–6 мес.</w:t>
            </w:r>
          </w:p>
        </w:tc>
        <w:tc>
          <w:tcPr>
            <w:tcW w:type="dxa" w:w="44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Протоколы, данные, закупки, независимые проверяющие</w:t>
            </w:r>
          </w:p>
        </w:tc>
        <w:tc>
          <w:tcPr>
            <w:tcW w:type="dxa" w:w="33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G3–G4; готовность к безопасному запуску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7–12 мес.</w:t>
            </w:r>
          </w:p>
        </w:tc>
        <w:tc>
          <w:tcPr>
            <w:tcW w:type="dxa" w:w="4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Три ограниченных пилота и общий архив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E2; первые PASS / REWORK / STOP</w:t>
            </w:r>
          </w:p>
        </w:tc>
      </w:tr>
      <w:tr>
        <w:trPr>
          <w:cantSplit/>
        </w:trPr>
        <w:tc>
          <w:tcPr>
            <w:tcW w:type="dxa" w:w="16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13–18 мес.</w:t>
            </w:r>
          </w:p>
        </w:tc>
        <w:tc>
          <w:tcPr>
            <w:tcW w:type="dxa" w:w="44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Корректировка, повтор, межсекторное обучение</w:t>
            </w:r>
          </w:p>
        </w:tc>
        <w:tc>
          <w:tcPr>
            <w:tcW w:type="dxa" w:w="33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G6; подтверждение или остановка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19–24 мес.</w:t>
            </w:r>
          </w:p>
        </w:tc>
        <w:tc>
          <w:tcPr>
            <w:tcW w:type="dxa" w:w="4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Расширение только подтверждённых компонентов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E3 для масштабируемого утверждения</w:t>
            </w:r>
          </w:p>
        </w:tc>
      </w:tr>
      <w:tr>
        <w:trPr>
          <w:cantSplit/>
        </w:trPr>
        <w:tc>
          <w:tcPr>
            <w:tcW w:type="dxa" w:w="16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25–30 мес.</w:t>
            </w:r>
          </w:p>
        </w:tc>
        <w:tc>
          <w:tcPr>
            <w:tcW w:type="dxa" w:w="44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Межрайонная / межгородская переносимость</w:t>
            </w:r>
          </w:p>
        </w:tc>
        <w:tc>
          <w:tcPr>
            <w:tcW w:type="dxa" w:w="33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Проверка контекста и совместимости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31–36 мес.</w:t>
            </w:r>
          </w:p>
        </w:tc>
        <w:tc>
          <w:tcPr>
            <w:tcW w:type="dxa" w:w="4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Институционализация, аудит прав и портфеля</w:t>
            </w:r>
          </w:p>
        </w:tc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G8; решение о постоянной модели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Правила перехода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Не запускать сбор данных до G1 и G2.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Не расширять пилот только потому, что исчерпан бюджетный год.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Не считать внутреннюю презентацию независимой проверкой G6.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При STOP профинансировать безопасный выход, уведомление, переносимость и архив уроков.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23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Риски, stop-правила и пакет решения на 90 дней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100"/>
        <w:gridCol w:w="3530"/>
        <w:gridCol w:w="3730"/>
      </w:tblGrid>
      <w:tr>
        <w:trPr>
          <w:tblHeader w:val="true"/>
          <w:cantSplit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Риск</w:t>
            </w:r>
          </w:p>
        </w:tc>
        <w:tc>
          <w:tcPr>
            <w:tcW w:type="dxa" w:w="353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Ранний сигнал</w:t>
            </w:r>
          </w:p>
        </w:tc>
        <w:tc>
          <w:tcPr>
            <w:tcW w:type="dxa" w:w="373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Stop / mitigation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Техноцентризм</w:t>
            </w:r>
          </w:p>
        </w:tc>
        <w:tc>
          <w:tcPr>
            <w:tcW w:type="dxa" w:w="35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Закупка сформулирована раньше вопроса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Вернуть на G0–G2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Захват элитой</w:t>
            </w:r>
          </w:p>
        </w:tc>
        <w:tc>
          <w:tcPr>
            <w:tcW w:type="dxa" w:w="35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Доступ и повестка сосредоточены у узкой группы</w:t>
            </w:r>
          </w:p>
        </w:tc>
        <w:tc>
          <w:tcPr>
            <w:tcW w:type="dxa" w:w="37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Пересобрать представительство и правила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Наблюдение / извлечение данных</w:t>
            </w:r>
          </w:p>
        </w:tc>
        <w:tc>
          <w:tcPr>
            <w:tcW w:type="dxa" w:w="35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Расширение цели, скрытый профиль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Остановить обработку; удалить/исправить по процедуре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Исключение</w:t>
            </w:r>
          </w:p>
        </w:tc>
        <w:tc>
          <w:tcPr>
            <w:tcW w:type="dxa" w:w="35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Ухудшение доступа для уязвимой группы</w:t>
            </w:r>
          </w:p>
        </w:tc>
        <w:tc>
          <w:tcPr>
            <w:tcW w:type="dxa" w:w="37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Вернуть альтернативный канал; REWORK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Greenwashing / metric gaming</w:t>
            </w:r>
          </w:p>
        </w:tc>
        <w:tc>
          <w:tcPr>
            <w:tcW w:type="dxa" w:w="35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Растёт отчётность без абсолютного эффекта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Независимая проверка и смена метрики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Vendor lock-in</w:t>
            </w:r>
          </w:p>
        </w:tc>
        <w:tc>
          <w:tcPr>
            <w:tcW w:type="dxa" w:w="35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Нет экспорта, документации или exit-плана</w:t>
            </w:r>
          </w:p>
        </w:tc>
        <w:tc>
          <w:tcPr>
            <w:tcW w:type="dxa" w:w="37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Не заключать/не продлевать контракт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Кладбище пилотов</w:t>
            </w:r>
          </w:p>
        </w:tc>
        <w:tc>
          <w:tcPr>
            <w:tcW w:type="dxa" w:w="35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Нет владельца результата и архива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Закрыть или назначить G7/G8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Необратимый CAPEX</w:t>
            </w:r>
          </w:p>
        </w:tc>
        <w:tc>
          <w:tcPr>
            <w:tcW w:type="dxa" w:w="35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Большая инвестиция до E2–E3</w:t>
            </w:r>
          </w:p>
        </w:tc>
        <w:tc>
          <w:tcPr>
            <w:tcW w:type="dxa" w:w="37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Разбить на обратимые этапы</w:t>
            </w:r>
          </w:p>
        </w:tc>
      </w:tr>
    </w:tbl>
    <w:p>
      <w:pPr>
        <w:spacing w:before="0" w:after="80"/>
      </w:pPr>
    </w:p>
    <w:p>
      <w:pPr>
        <w:pStyle w:val="Heading2"/>
        <w:keepNext/>
      </w:pPr>
      <w:r>
        <w:t>Пакет решения на первые 90 дней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Утвердить временный публичный мандат, совет прав и независимый контроль G6.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Выбрать территорию и составить карту узлов, барьеров доступа и держателей данных.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Сформулировать три общественных вопроса и исходные measurands без привязки к поставщику.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Подготовить паспорта пилотов, защиту данных, бюджет выхода и критерии PASS / REWORK / STOP.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Опубликовать исходный паспорт, четыре независимых вектора и календарь открытых разборов.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РЕШЕНИЕ ДНЯ 90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Разрешить только те пилоты, для которых закрыты G0–G4, назначены независимая проверка и человеческая ответственность, а прекращение безопасно и профинансировано.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24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Реестр официальных источников и статус модуля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КАК ЧИТАТЬ ИСТОЧНИКИ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Источники ниже используются как официальные точки отсчёта. Они не являются подтверждением проекта, не дают автоматической сертификации и не заменяют применимое право, локальные данные и независимую проверку.</w:t>
            </w:r>
          </w:p>
        </w:tc>
      </w:tr>
    </w:tbl>
    <w:p>
      <w:pPr>
        <w:spacing w:after="40"/>
      </w:pP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UNESCO Institute for Lifelong Learning — Learning Cities. </w:t>
      </w:r>
      <w:hyperlink r:id="rId14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обзор концепции и сети обучающихся городов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UNESCO — Building a Learning City. </w:t>
      </w:r>
      <w:hyperlink r:id="rId15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практическая рамка построения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UNESCO GNLC Guiding Documents. </w:t>
      </w:r>
      <w:hyperlink r:id="rId16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ключевые характеристики и индикативная рамка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UNESCO Lifelong Learning Toolkit — GNLC entry. </w:t>
      </w:r>
      <w:hyperlink r:id="rId17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инструментарий обучения на протяжении всей жизни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UNESCO Learning Cities Progress Report 2022–2024. </w:t>
      </w:r>
      <w:hyperlink r:id="rId18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самоотчёты 266 городов; интерпретировать с учётом метода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UN-Habitat — International Guidelines on People-Centred Smart Cities. </w:t>
      </w:r>
      <w:hyperlink r:id="rId19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руководство 2025 года; не имеющее обязательной силы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UN-Habitat — Guidelines PDF, 4 March 2025. </w:t>
      </w:r>
      <w:hyperlink r:id="rId20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официальный текст руководства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ITU — KPIs on Smart Sustainable Cities. </w:t>
      </w:r>
      <w:hyperlink r:id="rId21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обзор KPI ITU/U4SSC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U4SSC. </w:t>
      </w:r>
      <w:hyperlink r:id="rId22">
        <w:r>
          <w:rPr>
            <w:rStyle w:val="Hyperlink"/>
            <w:color w:val="2E74B5"/>
            <w:u w:val="single"/>
          </w:rPr>
          <w:t>KPI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23">
        <w:r>
          <w:rPr>
            <w:rStyle w:val="Hyperlink"/>
            <w:color w:val="2E74B5"/>
            <w:u w:val="single"/>
          </w:rPr>
          <w:t>Verification reports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добровольная структура и опубликованные отчёты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ITU-T Recommendation Y.4903/L.1603. </w:t>
      </w:r>
      <w:hyperlink r:id="rId24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методическая рекомендация по KPI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ISO/TC 268. </w:t>
      </w:r>
      <w:hyperlink r:id="rId25">
        <w:r>
          <w:rPr>
            <w:rStyle w:val="Hyperlink"/>
            <w:color w:val="2E74B5"/>
            <w:u w:val="single"/>
          </w:rPr>
          <w:t>Catalogue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26">
        <w:r>
          <w:rPr>
            <w:rStyle w:val="Hyperlink"/>
            <w:color w:val="2E74B5"/>
            <w:u w:val="single"/>
          </w:rPr>
          <w:t>Online Browsing Platform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термины и стандарты городов; методы, не универсальные пороги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ISO 37100 family — exact pages. </w:t>
      </w:r>
      <w:hyperlink r:id="rId27">
        <w:r>
          <w:rPr>
            <w:rStyle w:val="Hyperlink"/>
            <w:color w:val="2E74B5"/>
            <w:u w:val="single"/>
          </w:rPr>
          <w:t>37101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28">
        <w:r>
          <w:rPr>
            <w:rStyle w:val="Hyperlink"/>
            <w:color w:val="2E74B5"/>
            <w:u w:val="single"/>
          </w:rPr>
          <w:t>37106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29">
        <w:r>
          <w:rPr>
            <w:rStyle w:val="Hyperlink"/>
            <w:color w:val="2E74B5"/>
            <w:u w:val="single"/>
          </w:rPr>
          <w:t>37120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30">
        <w:r>
          <w:rPr>
            <w:rStyle w:val="Hyperlink"/>
            <w:color w:val="2E74B5"/>
            <w:u w:val="single"/>
          </w:rPr>
          <w:t>37122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31">
        <w:r>
          <w:rPr>
            <w:rStyle w:val="Hyperlink"/>
            <w:color w:val="2E74B5"/>
            <w:u w:val="single"/>
          </w:rPr>
          <w:t>37123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32">
        <w:r>
          <w:rPr>
            <w:rStyle w:val="Hyperlink"/>
            <w:color w:val="2E74B5"/>
            <w:u w:val="single"/>
          </w:rPr>
          <w:t>37124</w:t>
        </w:r>
      </w:hyperlink>
      <w:r>
        <w:rPr>
          <w:rFonts w:ascii="Calibri" w:hAnsi="Calibri" w:eastAsia="Calibri" w:cs="Calibri"/>
          <w:color w:val="5A6B7A"/>
          <w:sz w:val="14"/>
          <w:lang w:val="ru-RU"/>
        </w:rPr>
        <w:t xml:space="preserve"> | </w:t>
      </w:r>
      <w:hyperlink r:id="rId33">
        <w:r>
          <w:rPr>
            <w:rStyle w:val="Hyperlink"/>
            <w:color w:val="2E74B5"/>
            <w:u w:val="single"/>
          </w:rPr>
          <w:t>37125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управление, операционные модели и индикаторы; проверять актуальную редакцию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UNESCO — Recommendation on the Ethics of Artificial Intelligence. </w:t>
      </w:r>
      <w:hyperlink r:id="rId34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принята 23 ноября 2021 года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United Nations — Universal Declaration of Human Rights. </w:t>
      </w:r>
      <w:hyperlink r:id="rId35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базовая рамка достоинства и прав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OECD — Smart Cities and Inclusive Growth. </w:t>
      </w:r>
      <w:hyperlink r:id="rId36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инклюзивное управление и рост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OECD — Smart City Data Governance. </w:t>
      </w:r>
      <w:hyperlink r:id="rId37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управление городскими данными</w:t>
      </w:r>
    </w:p>
    <w:p>
      <w:pPr>
        <w:pStyle w:val="KRPIReference"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0B2545"/>
          <w:sz w:val="14"/>
          <w:lang w:val="ru-RU"/>
        </w:rPr>
        <w:t xml:space="preserve">World Bank — Digital and AI. </w:t>
      </w:r>
      <w:hyperlink r:id="rId38">
        <w:r>
          <w:rPr>
            <w:rStyle w:val="Hyperlink"/>
            <w:color w:val="2E74B5"/>
            <w:u w:val="single"/>
          </w:rPr>
          <w:t>Официальная страница</w:t>
        </w:r>
      </w:hyperlink>
      <w:r>
        <w:rPr>
          <w:rFonts w:ascii="Calibri" w:hAnsi="Calibri" w:eastAsia="Calibri" w:cs="Calibri"/>
          <w:color w:val="172B3A"/>
          <w:sz w:val="14"/>
          <w:lang w:val="ru-RU"/>
        </w:rPr>
        <w:t xml:space="preserve"> — цифровая инфраструктура, данные и ИИ как область политики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ФИНАЛЬНЫЙ СТАТУС  </w:t>
            </w:r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BKS-CAND-GZ-0001-M01 — candidate-модуль; BKS-REVIVAL-SUP-GZ-2026-01 — пакет дополнения. Базовый реестр BKS-0001…BKS-0344 остаётся неизменным. Следующий допустимый шаг — 90-дневная подготовка, а не объявление готового «Города Знания».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right"/>
    </w:pPr>
    <w:r/>
    <w:r>
      <w:rPr>
        <w:rFonts w:ascii="Calibri" w:hAnsi="Calibri" w:eastAsia="Calibri" w:cs="Calibri"/>
        <w:color w:val="5A6B7A"/>
        <w:sz w:val="16"/>
        <w:lang w:val="ru-RU"/>
      </w:rPr>
      <w:t xml:space="preserve">BKS-CAND-GZ-0001-M01   •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5" w:space="3" w:color="D9E2EA"/>
      </w:pBdr>
    </w:pPr>
    <w:r/>
    <w:r>
      <w:rPr>
        <w:rFonts w:ascii="Calibri" w:hAnsi="Calibri" w:eastAsia="Calibri" w:cs="Calibri"/>
        <w:b/>
        <w:color w:val="5A6B7A"/>
        <w:sz w:val="16"/>
        <w:lang w:val="ru-RU"/>
      </w:rPr>
      <w:t>БЕЛАЯ КНИГА СУДЬБЫ  |  ГОРОДА ЗНАНИЯ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nsid w:val="A1B2C009"/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9"/>
        <w:spacing w:after="80" w:line="290" w:lineRule="auto"/>
      </w:pPr>
      <w:rPr>
        <w:rFonts w:ascii="Calibri" w:hAnsi="Calibri"/>
      </w:rPr>
    </w:lvl>
  </w:abstractNum>
  <w:num w:numId="10">
    <w:abstractNumId w:val="9"/>
  </w:num>
  <w:abstractNum w:abstractNumId="10">
    <w:nsid w:val="A1B2C00A"/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9"/>
        <w:spacing w:after="80" w:line="290" w:lineRule="auto"/>
      </w:pPr>
    </w:lvl>
  </w:abstract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320" w:lineRule="auto"/>
      <w:jc w:val="both"/>
    </w:pPr>
    <w:rPr>
      <w:rFonts w:ascii="Calibri" w:hAnsi="Calibri" w:eastAsia="Calibri" w:cs="Calibri"/>
      <w:b w:val="0"/>
      <w:i w:val="0"/>
      <w:color w:val="172B3A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i w:val="0"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40" w:after="12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i w:val="0"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i w:val="0"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6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eastAsia="Calibri" w:cs="Calibri"/>
      <w:b/>
      <w:i w:val="0"/>
      <w:color w:val="0B2545"/>
      <w:spacing w:val="5"/>
      <w:kern w:val="28"/>
      <w:sz w:val="6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360" w:line="269" w:lineRule="auto"/>
      <w:jc w:val="left"/>
    </w:pPr>
    <w:rPr>
      <w:rFonts w:asciiTheme="majorHAnsi" w:eastAsiaTheme="majorEastAsia" w:hAnsiTheme="majorHAnsi" w:cstheme="majorBidi" w:ascii="Calibri" w:hAnsi="Calibri" w:eastAsia="Calibri" w:cs="Calibri"/>
      <w:b w:val="0"/>
      <w:i w:val="0"/>
      <w:iCs/>
      <w:color w:val="1F4D78"/>
      <w:spacing w:val="15"/>
      <w:sz w:val="29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RPIList">
    <w:name w:val="KRPI List"/>
    <w:pPr>
      <w:keepNext w:val="0"/>
      <w:widowControl/>
      <w:spacing w:before="0" w:after="80" w:line="290" w:lineRule="auto"/>
      <w:jc w:val="left"/>
    </w:pPr>
    <w:rPr>
      <w:rFonts w:ascii="Calibri" w:hAnsi="Calibri" w:eastAsia="Calibri" w:cs="Calibri"/>
      <w:b w:val="0"/>
      <w:i w:val="0"/>
      <w:color w:val="172B3A"/>
      <w:sz w:val="22"/>
      <w:lang w:val="ru-RU"/>
    </w:rPr>
  </w:style>
  <w:style w:type="paragraph" w:customStyle="1" w:styleId="KRPITable">
    <w:name w:val="KRPI Table"/>
    <w:pPr>
      <w:keepNext w:val="0"/>
      <w:widowControl/>
      <w:spacing w:before="0" w:after="80" w:line="252" w:lineRule="auto"/>
      <w:jc w:val="left"/>
    </w:pPr>
    <w:rPr>
      <w:rFonts w:ascii="Calibri" w:hAnsi="Calibri" w:eastAsia="Calibri" w:cs="Calibri"/>
      <w:b w:val="0"/>
      <w:i w:val="0"/>
      <w:color w:val="172B3A"/>
      <w:sz w:val="18"/>
      <w:lang w:val="ru-RU"/>
    </w:rPr>
  </w:style>
  <w:style w:type="paragraph" w:customStyle="1" w:styleId="KRPICaption">
    <w:name w:val="KRPI Caption"/>
    <w:pPr>
      <w:keepNext w:val="0"/>
      <w:widowControl/>
      <w:spacing w:before="0" w:after="80" w:line="240" w:lineRule="auto"/>
      <w:jc w:val="left"/>
    </w:pPr>
    <w:rPr>
      <w:rFonts w:ascii="Calibri" w:hAnsi="Calibri" w:eastAsia="Calibri" w:cs="Calibri"/>
      <w:b w:val="0"/>
      <w:i/>
      <w:color w:val="5A6B7A"/>
      <w:sz w:val="18"/>
      <w:lang w:val="ru-RU"/>
    </w:rPr>
  </w:style>
  <w:style w:type="paragraph" w:customStyle="1" w:styleId="KRPIReference">
    <w:name w:val="KRPI Reference"/>
    <w:pPr>
      <w:keepNext w:val="0"/>
      <w:widowControl/>
      <w:spacing w:before="0" w:after="30" w:line="240" w:lineRule="auto"/>
      <w:jc w:val="left"/>
    </w:pPr>
    <w:rPr>
      <w:rFonts w:ascii="Calibri" w:hAnsi="Calibri" w:eastAsia="Calibri" w:cs="Calibri"/>
      <w:b w:val="0"/>
      <w:i w:val="0"/>
      <w:color w:val="172B3A"/>
      <w:sz w:val="14"/>
      <w:lang w:val="ru-RU"/>
    </w:rPr>
  </w:style>
  <w:style w:type="paragraph" w:customStyle="1" w:styleId="KRPIFormula">
    <w:name w:val="KRPI Formula"/>
    <w:pPr>
      <w:keepNext w:val="0"/>
      <w:widowControl/>
      <w:spacing w:before="0" w:after="80" w:line="240" w:lineRule="auto"/>
      <w:jc w:val="center"/>
    </w:pPr>
    <w:rPr>
      <w:rFonts w:ascii="Calibri" w:hAnsi="Calibri" w:eastAsia="Calibri" w:cs="Calibri"/>
      <w:b/>
      <w:i w:val="0"/>
      <w:color w:val="0B2545"/>
      <w:sz w:val="26"/>
      <w:lang w:val="ru-RU"/>
    </w:rPr>
  </w:style>
  <w:style w:type="paragraph" w:customStyle="1" w:styleId="KRPIKicker">
    <w:name w:val="KRPI Kicker"/>
    <w:pPr>
      <w:keepNext w:val="0"/>
      <w:widowControl/>
      <w:spacing w:before="0" w:after="80" w:line="240" w:lineRule="auto"/>
      <w:jc w:val="left"/>
    </w:pPr>
    <w:rPr>
      <w:rFonts w:ascii="Calibri" w:hAnsi="Calibri" w:eastAsia="Calibri" w:cs="Calibri"/>
      <w:b/>
      <w:i w:val="0"/>
      <w:color w:val="A97817"/>
      <w:sz w:val="19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hyperlink" Target="https://www.uil.unesco.org/en/learning-cities" TargetMode="External"/><Relationship Id="rId15" Type="http://schemas.openxmlformats.org/officeDocument/2006/relationships/hyperlink" Target="https://www.uil.unesco.org/en/learning-cities/build-learning-city" TargetMode="External"/><Relationship Id="rId16" Type="http://schemas.openxmlformats.org/officeDocument/2006/relationships/hyperlink" Target="https://uil.unesco.org/fileadmin/keydocuments/LifelongLearning/learning-cities/en-unesco-global-network-of-learning-cities-guiding-documents.pdf" TargetMode="External"/><Relationship Id="rId17" Type="http://schemas.openxmlformats.org/officeDocument/2006/relationships/hyperlink" Target="https://lifelonglearning-toolkit.uil.unesco.org/en/node/196" TargetMode="External"/><Relationship Id="rId18" Type="http://schemas.openxmlformats.org/officeDocument/2006/relationships/hyperlink" Target="https://www.uil.unesco.org/sites/default/files/medias/fichiers/2025/07/UNESCO%20Learning%20Cities%20Progress%20Report%202022-2024_0.pdf?hub=38" TargetMode="External"/><Relationship Id="rId19" Type="http://schemas.openxmlformats.org/officeDocument/2006/relationships/hyperlink" Target="https://unhabitat.org/international-guidelines-on-people-centred-smart-cities" TargetMode="External"/><Relationship Id="rId20" Type="http://schemas.openxmlformats.org/officeDocument/2006/relationships/hyperlink" Target="https://unhabitat.org/sites/default/files/2025/03/international_guidelines_on_people_centred_smart_cities_clean_4.3.2025.pdf" TargetMode="External"/><Relationship Id="rId21" Type="http://schemas.openxmlformats.org/officeDocument/2006/relationships/hyperlink" Target="https://www.itu.int/en/ITU-T/ssc/pages/kpis-on-ssc.aspx" TargetMode="External"/><Relationship Id="rId22" Type="http://schemas.openxmlformats.org/officeDocument/2006/relationships/hyperlink" Target="https://u4ssc.itu.int/u4ssc-kpi/" TargetMode="External"/><Relationship Id="rId23" Type="http://schemas.openxmlformats.org/officeDocument/2006/relationships/hyperlink" Target="https://u4ssc.itu.int/verification-reports/" TargetMode="External"/><Relationship Id="rId24" Type="http://schemas.openxmlformats.org/officeDocument/2006/relationships/hyperlink" Target="https://www.itu.int/itu-t/recommendations/rec.aspx?rec=14173" TargetMode="External"/><Relationship Id="rId25" Type="http://schemas.openxmlformats.org/officeDocument/2006/relationships/hyperlink" Target="https://www.iso.org/committee/656906/x/catalogue/" TargetMode="External"/><Relationship Id="rId26" Type="http://schemas.openxmlformats.org/officeDocument/2006/relationships/hyperlink" Target="https://www.iso.org/obp/ui/en/" TargetMode="External"/><Relationship Id="rId27" Type="http://schemas.openxmlformats.org/officeDocument/2006/relationships/hyperlink" Target="https://www.iso.org/standard/61885.html" TargetMode="External"/><Relationship Id="rId28" Type="http://schemas.openxmlformats.org/officeDocument/2006/relationships/hyperlink" Target="https://www.iso.org/standard/82854.html" TargetMode="External"/><Relationship Id="rId29" Type="http://schemas.openxmlformats.org/officeDocument/2006/relationships/hyperlink" Target="https://www.iso.org/standard/68498.html" TargetMode="External"/><Relationship Id="rId30" Type="http://schemas.openxmlformats.org/officeDocument/2006/relationships/hyperlink" Target="https://www.iso.org/standard/69050.html" TargetMode="External"/><Relationship Id="rId31" Type="http://schemas.openxmlformats.org/officeDocument/2006/relationships/hyperlink" Target="https://www.iso.org/standard/70428.html" TargetMode="External"/><Relationship Id="rId32" Type="http://schemas.openxmlformats.org/officeDocument/2006/relationships/hyperlink" Target="https://www.iso.org/standard/80290.html" TargetMode="External"/><Relationship Id="rId33" Type="http://schemas.openxmlformats.org/officeDocument/2006/relationships/hyperlink" Target="https://www.iso.org/standard/85198.html" TargetMode="External"/><Relationship Id="rId34" Type="http://schemas.openxmlformats.org/officeDocument/2006/relationships/hyperlink" Target="https://www.unesco.org/en/legal-affairs/recommendation-ethics-artificial-intelligence" TargetMode="External"/><Relationship Id="rId35" Type="http://schemas.openxmlformats.org/officeDocument/2006/relationships/hyperlink" Target="https://www.un.org/en/about-us/universal-declaration-of-human-rights" TargetMode="External"/><Relationship Id="rId36" Type="http://schemas.openxmlformats.org/officeDocument/2006/relationships/hyperlink" Target="https://www.oecd.org/en/about/programmes/the-oecd-programme-on-smart-cities-and-inclusive-growth0.html" TargetMode="External"/><Relationship Id="rId37" Type="http://schemas.openxmlformats.org/officeDocument/2006/relationships/hyperlink" Target="https://www.oecd.org/content/dam/oecd/en/publications/reports/2023/10/smart-city-data-governance_fc19e878/e57ce301-en.pdf" TargetMode="External"/><Relationship Id="rId38" Type="http://schemas.openxmlformats.org/officeDocument/2006/relationships/hyperlink" Target="https://www.worldbank.org/ext/en/topic/digital-and-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Города Знания</dc:title>
  <dc:subject>Человекоцентричная городская экосистема обучения, исследований, памяти и проверяемого общественного результата</dc:subject>
  <dc:creator>Белая Книга Судьбы / проектный контур</dc:creator>
  <cp:keywords>город знаний, обучающийся город, человекоцентричный город, UNESCO, UN-Habitat, U4SSC, ISO 37100, данные, биосфера, образование</cp:keywords>
  <dc:description>Candidate-модуль. Базовый реестр BKS-0001…BKS-0344 не изменён.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