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0"/>
        <w:jc w:val="center"/>
      </w:pPr>
      <w:r>
        <w:rPr>
          <w:rFonts w:ascii="Arial" w:hAnsi="Arial"/>
          <w:b/>
          <w:sz w:val="52"/>
        </w:rPr>
        <w:t>ЭКВИЛИБРИУМ</w:t>
      </w:r>
    </w:p>
    <w:p>
      <w:pPr>
        <w:jc w:val="center"/>
      </w:pPr>
      <w:r>
        <w:rPr>
          <w:rFonts w:ascii="Arial" w:hAnsi="Arial"/>
          <w:b/>
          <w:sz w:val="40"/>
        </w:rPr>
        <w:t>ГИПЕРЛУПЫ И СКОРОСТНЫЕ СИСТЕМЫ</w:t>
      </w:r>
    </w:p>
    <w:p>
      <w:pPr>
        <w:jc w:val="center"/>
      </w:pPr>
      <w:r>
        <w:rPr>
          <w:rFonts w:ascii="Arial" w:hAnsi="Arial"/>
          <w:i/>
          <w:sz w:val="26"/>
        </w:rPr>
        <w:t>Национальная архитектура транспорта сверхвысоких скоростей</w:t>
      </w:r>
    </w:p>
    <w:p>
      <w:pPr>
        <w:spacing w:before="480"/>
        <w:jc w:val="center"/>
      </w:pPr>
      <w:r>
        <w:rPr>
          <w:b/>
        </w:rPr>
        <w:t>Концепция для научно-технологической, промышленной и инфраструктурной политики Российской Федерации</w:t>
      </w:r>
    </w:p>
    <w:p>
      <w:pPr>
        <w:spacing w:before="1400"/>
        <w:jc w:val="center"/>
      </w:pPr>
      <w:r>
        <w:rPr>
          <w:i/>
        </w:rPr>
        <w:t>2026</w:t>
      </w:r>
    </w:p>
    <w:p>
      <w:r>
        <w:br w:type="page"/>
      </w:r>
    </w:p>
    <w:p>
      <w:pPr>
        <w:pStyle w:val="Heading1"/>
      </w:pPr>
      <w:r>
        <w:t>1. Резюме инициативы</w:t>
      </w:r>
    </w:p>
    <w:p>
      <w:r>
        <w:t>В рамках направления «ЭКВИЛИБРИУМ Транспорт» предлагается сформировать национальный контур исследований, испытаний, стандартизации и поэтапного внедрения скоростных и сверхскоростных транспортных систем. Контур должен объединить высокоскоростную железную дорогу, магнитолевитационный транспорт, вакуумно-трубные системы типа Hyperloop, автоматизированные грузовые коридоры и цифровое управление мультимодальными потоками.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EEF3F8"/>
            <w:vAlign w:val="center"/>
          </w:tcPr>
          <w:p>
            <w:r/>
            <w:r>
              <w:rPr>
                <w:rFonts w:ascii="Arial" w:hAnsi="Arial"/>
                <w:b/>
                <w:sz w:val="21"/>
              </w:rPr>
              <w:t>Принцип государственной политики: не выбирать одну «технологию будущего», а сформировать технологическую линейку и сравнивать решения по безопасности, зрелости, стоимости жизненного цикла, энергетике, пропускной способности и применимости к конкретным коридорам.</w:t>
            </w:r>
          </w:p>
        </w:tc>
      </w:tr>
    </w:tbl>
    <w:p>
      <w:pPr>
        <w:pStyle w:val="ListBullet"/>
        <w:spacing w:after="40"/>
      </w:pPr>
      <w:r>
        <w:t>ВСМ — базовый зрелый класс для магистральных пассажирских коридоров высокой плотности.</w:t>
      </w:r>
    </w:p>
    <w:p>
      <w:pPr>
        <w:pStyle w:val="ListBullet"/>
        <w:spacing w:after="40"/>
      </w:pPr>
      <w:r>
        <w:t>Маглев — перспективный класс для скоростей выше традиционного железнодорожного транспорта и специальных коридоров.</w:t>
      </w:r>
    </w:p>
    <w:p>
      <w:pPr>
        <w:pStyle w:val="ListBullet"/>
        <w:spacing w:after="40"/>
      </w:pPr>
      <w:r>
        <w:t>Гиперлуп / вакуумно-трубные системы — экспериментальный класс, требующий длительной валидации безопасности, герметичности, эвакуации, экономики и нормативной базы.</w:t>
      </w:r>
    </w:p>
    <w:p>
      <w:pPr>
        <w:pStyle w:val="ListBullet"/>
        <w:spacing w:after="40"/>
      </w:pPr>
      <w:r>
        <w:t>Автоматизированные грузовые коридоры — прикладной класс для портов, промышленных агломераций, сухих портов и распределительных центров.</w:t>
      </w:r>
    </w:p>
    <w:p>
      <w:pPr>
        <w:pStyle w:val="ListBullet"/>
        <w:spacing w:after="40"/>
      </w:pPr>
      <w:r>
        <w:t>ЭКВИЛИБРИУМ — цифровой контур сопоставления технологий, управления потоками, цифровых двойников и оценки жизненного цикла.</w:t>
      </w:r>
    </w:p>
    <w:p>
      <w:pPr>
        <w:pStyle w:val="Heading1"/>
      </w:pPr>
      <w:r>
        <w:t>2. Государственная постановка задачи</w:t>
      </w:r>
    </w:p>
    <w:p>
      <w:r>
        <w:t>Развитие транспорта сверхвысоких скоростей рассматривается не как отдельный инфраструктурный проект, а как межотраслевая программа, влияющая на промышленность, материаловедение, энергетику, пространственное развитие, цифровую экономику, транспортное машиностроение и научно-технологический суверенитет.</w:t>
      </w:r>
    </w:p>
    <w:p>
      <w:pPr>
        <w:pStyle w:val="Heading2"/>
      </w:pPr>
      <w:r>
        <w:t>2.1. Цели</w:t>
      </w:r>
    </w:p>
    <w:p>
      <w:pPr>
        <w:pStyle w:val="ListBullet"/>
        <w:spacing w:after="40"/>
      </w:pPr>
      <w:r>
        <w:t>сокращение времени перемещения между ключевыми агломерациями и производственными центрами;</w:t>
      </w:r>
    </w:p>
    <w:p>
      <w:pPr>
        <w:pStyle w:val="ListBullet"/>
        <w:spacing w:after="40"/>
      </w:pPr>
      <w:r>
        <w:t>повышение связанности территорий и перераспределение части пассажиропотока с авиационных и автомобильных направлений;</w:t>
      </w:r>
    </w:p>
    <w:p>
      <w:pPr>
        <w:pStyle w:val="ListBullet"/>
        <w:spacing w:after="40"/>
      </w:pPr>
      <w:r>
        <w:t>создание новых рынков для отечественного машиностроения, электроники, композитов, силовой энергетики и систем управления;</w:t>
      </w:r>
    </w:p>
    <w:p>
      <w:pPr>
        <w:pStyle w:val="ListBullet"/>
        <w:spacing w:after="40"/>
      </w:pPr>
      <w:r>
        <w:t>формирование испытательной и нормативной базы для технологий сверхвысокой скорости;</w:t>
      </w:r>
    </w:p>
    <w:p>
      <w:pPr>
        <w:pStyle w:val="ListBullet"/>
        <w:spacing w:after="40"/>
      </w:pPr>
      <w:r>
        <w:t>создание экспортируемого комплекса технологий, стандартов, цифровых платформ и инженерных компетенций.</w:t>
      </w:r>
    </w:p>
    <w:p>
      <w:pPr>
        <w:pStyle w:val="Heading1"/>
      </w:pPr>
      <w:r>
        <w:t>3. Классификация скоростных систем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vAlign w:val="center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Класс</w:t>
            </w:r>
          </w:p>
        </w:tc>
        <w:tc>
          <w:tcPr>
            <w:tcW w:type="dxa" w:w="2507"/>
            <w:vAlign w:val="center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Диапазон скорости*</w:t>
            </w:r>
          </w:p>
        </w:tc>
        <w:tc>
          <w:tcPr>
            <w:tcW w:type="dxa" w:w="2507"/>
            <w:vAlign w:val="center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Технологическая зрелость</w:t>
            </w:r>
          </w:p>
        </w:tc>
        <w:tc>
          <w:tcPr>
            <w:tcW w:type="dxa" w:w="2507"/>
            <w:vAlign w:val="center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Рациональная область применения</w:t>
            </w:r>
          </w:p>
        </w:tc>
      </w:tr>
      <w:tr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Скоростная железная дорога</w:t>
            </w:r>
          </w:p>
        </w:tc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до ~200–250 км/ч</w:t>
            </w:r>
          </w:p>
        </w:tc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Высокая</w:t>
            </w:r>
          </w:p>
        </w:tc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Модернизация существующих коридоров</w:t>
            </w:r>
          </w:p>
        </w:tc>
      </w:tr>
      <w:tr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Высокоскоростная железная дорога (ВСМ)</w:t>
            </w:r>
          </w:p>
        </w:tc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~250–400 км/ч</w:t>
            </w:r>
          </w:p>
        </w:tc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Высокая</w:t>
            </w:r>
          </w:p>
        </w:tc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Межагломерационные пассажирские коридоры</w:t>
            </w:r>
          </w:p>
        </w:tc>
      </w:tr>
      <w:tr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Магнитолевитационная система (маглев)</w:t>
            </w:r>
          </w:p>
        </w:tc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~400–600+ км/ч</w:t>
            </w:r>
          </w:p>
        </w:tc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Средняя/высокая по отдельным решениям</w:t>
            </w:r>
          </w:p>
        </w:tc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Специализированные высокоплотные коридоры</w:t>
            </w:r>
          </w:p>
        </w:tc>
      </w:tr>
      <w:tr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Вакуумно-трубная система / Hyperloop-type</w:t>
            </w:r>
          </w:p>
        </w:tc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целевой диапазон может превышать 600 км/ч</w:t>
            </w:r>
          </w:p>
        </w:tc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Экспериментальная</w:t>
            </w:r>
          </w:p>
        </w:tc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НИОКР, полигоны, ограниченные демонстрационные линии</w:t>
            </w:r>
          </w:p>
        </w:tc>
      </w:tr>
      <w:tr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Автоматизированный грузовой коридор</w:t>
            </w:r>
          </w:p>
        </w:tc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зависит от технологии</w:t>
            </w:r>
          </w:p>
        </w:tc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Высокая для отдельных решений</w:t>
            </w:r>
          </w:p>
        </w:tc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Порты, терминалы, промышленные зоны, логистические хабы</w:t>
            </w:r>
          </w:p>
        </w:tc>
      </w:tr>
    </w:tbl>
    <w:p>
      <w:r>
        <w:t>* Диапазоны приведены как ориентировочная инженерная классификация; параметры конкретного проекта определяются трассой, подвижным составом, нормативами и требованиями безопасности.</w:t>
      </w:r>
    </w:p>
    <w:p>
      <w:pPr>
        <w:pStyle w:val="Heading1"/>
      </w:pPr>
      <w:r>
        <w:t>4. Гиперлуп и вакуумно-трубный транспорт</w:t>
      </w:r>
    </w:p>
    <w:p>
      <w:r>
        <w:t>Под гиперлупом в данном документе понимается класс транспортных систем, в которых капсула или поезд движется внутри трубопроводного/туннельного канала с существенно пониженным давлением воздуха, а движение и удержание могут обеспечиваться электромагнитными или иными системами. Потенциальное снижение аэродинамического сопротивления создаёт предпосылки для очень высоких скоростей, однако одновременно формирует новый комплекс требований к безопасности и эксплуатации.</w:t>
      </w:r>
    </w:p>
    <w:p>
      <w:pPr>
        <w:pStyle w:val="Heading2"/>
      </w:pPr>
      <w:r>
        <w:t>4.1. Критические инженерные задачи</w:t>
      </w:r>
    </w:p>
    <w:p>
      <w:pPr>
        <w:pStyle w:val="ListBullet"/>
        <w:spacing w:after="40"/>
      </w:pPr>
      <w:r>
        <w:t>длительное поддержание разреженной среды на протяжённых участках;</w:t>
      </w:r>
    </w:p>
    <w:p>
      <w:pPr>
        <w:pStyle w:val="ListBullet"/>
        <w:spacing w:after="40"/>
      </w:pPr>
      <w:r>
        <w:t>герметизация шлюзов, станций, стыков и технологических вводов;</w:t>
      </w:r>
    </w:p>
    <w:p>
      <w:pPr>
        <w:pStyle w:val="ListBullet"/>
        <w:spacing w:after="40"/>
      </w:pPr>
      <w:r>
        <w:t>безопасное торможение и остановка при отказах;</w:t>
      </w:r>
    </w:p>
    <w:p>
      <w:pPr>
        <w:pStyle w:val="ListBullet"/>
        <w:spacing w:after="40"/>
      </w:pPr>
      <w:r>
        <w:t>эвакуация пассажиров из закрытого канала;</w:t>
      </w:r>
    </w:p>
    <w:p>
      <w:pPr>
        <w:pStyle w:val="ListBullet"/>
        <w:spacing w:after="40"/>
      </w:pPr>
      <w:r>
        <w:t>пожарная безопасность и управление дымом/газовой средой;</w:t>
      </w:r>
    </w:p>
    <w:p>
      <w:pPr>
        <w:pStyle w:val="ListBullet"/>
        <w:spacing w:after="40"/>
      </w:pPr>
      <w:r>
        <w:t>тепловые деформации протяжённых трубных конструкций;</w:t>
      </w:r>
    </w:p>
    <w:p>
      <w:pPr>
        <w:pStyle w:val="ListBullet"/>
        <w:spacing w:after="40"/>
      </w:pPr>
      <w:r>
        <w:t>точность геометрии трассы и устойчивость основания;</w:t>
      </w:r>
    </w:p>
    <w:p>
      <w:pPr>
        <w:pStyle w:val="ListBullet"/>
        <w:spacing w:after="40"/>
      </w:pPr>
      <w:r>
        <w:t>контроль вибраций, динамики капсулы и переходных режимов;</w:t>
      </w:r>
    </w:p>
    <w:p>
      <w:pPr>
        <w:pStyle w:val="ListBullet"/>
        <w:spacing w:after="40"/>
      </w:pPr>
      <w:r>
        <w:t>экономически приемлемое строительство, ремонт и инспекция.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EEF3F8"/>
            <w:vAlign w:val="center"/>
          </w:tcPr>
          <w:p>
            <w:r/>
            <w:r>
              <w:rPr>
                <w:rFonts w:ascii="Arial" w:hAnsi="Arial"/>
                <w:b/>
                <w:sz w:val="21"/>
              </w:rPr>
              <w:t>Государственная позиция должна быть технологически нейтральной: Hyperloop-type следует рассматривать как экспериментальную платформу НИОКР до подтверждения полной системы безопасности и экономики жизненного цикла.</w:t>
            </w:r>
          </w:p>
        </w:tc>
      </w:tr>
    </w:tbl>
    <w:p>
      <w:pPr>
        <w:pStyle w:val="Heading1"/>
      </w:pPr>
      <w:r>
        <w:t>5. Маглев и высокоскоростная железная дорога</w:t>
      </w:r>
    </w:p>
    <w:p>
      <w:pPr>
        <w:pStyle w:val="Heading2"/>
      </w:pPr>
      <w:r>
        <w:t>5.1. Маглев</w:t>
      </w:r>
    </w:p>
    <w:p>
      <w:r>
        <w:t>Магнитолевитационный транспорт устраняет механический контакт колеса и рельса в основном режиме движения. Это снижает ряд видов механического износа и позволяет проектировать системы для высоких скоростей, но требует специализированной инфраструктуры, силовой электроники, систем левитации и тяги, точного путевого сооружения и развитого управления безопасностью.</w:t>
      </w:r>
    </w:p>
    <w:p>
      <w:pPr>
        <w:pStyle w:val="Heading2"/>
      </w:pPr>
      <w:r>
        <w:t>5.2. ВСМ</w:t>
      </w:r>
    </w:p>
    <w:p>
      <w:r>
        <w:t>Высокоскоростная железная дорога является наиболее зрелым классом наземного пассажирского транспорта для скоростей порядка 250–400 км/ч. Для России ВСМ может служить технологической и инфраструктурной базой, на которой формируются компетенции по пути, подвижному составу, тяговому электроснабжению, цифровой диспетчеризации, аэродинамике, материалам и эксплуатации высоких скоростей.</w:t>
      </w:r>
    </w:p>
    <w:p>
      <w:pPr>
        <w:pStyle w:val="Heading1"/>
      </w:pPr>
      <w:r>
        <w:t>6. Материаловедение для сверхскоростного транспорта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vAlign w:val="center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Задача</w:t>
            </w:r>
          </w:p>
        </w:tc>
        <w:tc>
          <w:tcPr>
            <w:tcW w:type="dxa" w:w="3343"/>
            <w:vAlign w:val="center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Приоритетные материалы/технологии</w:t>
            </w:r>
          </w:p>
        </w:tc>
        <w:tc>
          <w:tcPr>
            <w:tcW w:type="dxa" w:w="3343"/>
            <w:vAlign w:val="center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Целевой эффект</w:t>
            </w:r>
          </w:p>
        </w:tc>
      </w:tr>
      <w:tr>
        <w:tc>
          <w:tcPr>
            <w:tcW w:type="dxa" w:w="3343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Снижение массы</w:t>
            </w:r>
          </w:p>
        </w:tc>
        <w:tc>
          <w:tcPr>
            <w:tcW w:type="dxa" w:w="3343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алюминиевые и титановые сплавы, угле- и стеклокомпозиты</w:t>
            </w:r>
          </w:p>
        </w:tc>
        <w:tc>
          <w:tcPr>
            <w:tcW w:type="dxa" w:w="3343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меньше энергозатрат, выше динамика</w:t>
            </w:r>
          </w:p>
        </w:tc>
      </w:tr>
      <w:tr>
        <w:tc>
          <w:tcPr>
            <w:tcW w:type="dxa" w:w="3343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Износ и ресурс</w:t>
            </w:r>
          </w:p>
        </w:tc>
        <w:tc>
          <w:tcPr>
            <w:tcW w:type="dxa" w:w="3343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керамика, металлокерамика, функциональные покрытия</w:t>
            </w:r>
          </w:p>
        </w:tc>
        <w:tc>
          <w:tcPr>
            <w:tcW w:type="dxa" w:w="3343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рост межремонтного ресурса</w:t>
            </w:r>
          </w:p>
        </w:tc>
      </w:tr>
      <w:tr>
        <w:tc>
          <w:tcPr>
            <w:tcW w:type="dxa" w:w="3343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Тепловая стабильность</w:t>
            </w:r>
          </w:p>
        </w:tc>
        <w:tc>
          <w:tcPr>
            <w:tcW w:type="dxa" w:w="3343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жаропрочные сплавы, керамические материалы, теплоотводящие структуры</w:t>
            </w:r>
          </w:p>
        </w:tc>
        <w:tc>
          <w:tcPr>
            <w:tcW w:type="dxa" w:w="3343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устойчивость при высоких нагрузках</w:t>
            </w:r>
          </w:p>
        </w:tc>
      </w:tr>
      <w:tr>
        <w:tc>
          <w:tcPr>
            <w:tcW w:type="dxa" w:w="3343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Вакуумная герметичность</w:t>
            </w:r>
          </w:p>
        </w:tc>
        <w:tc>
          <w:tcPr>
            <w:tcW w:type="dxa" w:w="3343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специальные стали, алюминиевые сплавы, уплотнения, барьерные покрытия</w:t>
            </w:r>
          </w:p>
        </w:tc>
        <w:tc>
          <w:tcPr>
            <w:tcW w:type="dxa" w:w="3343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снижение утечек и эксплуатационных затрат</w:t>
            </w:r>
          </w:p>
        </w:tc>
      </w:tr>
      <w:tr>
        <w:tc>
          <w:tcPr>
            <w:tcW w:type="dxa" w:w="3343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Силовая электроника</w:t>
            </w:r>
          </w:p>
        </w:tc>
        <w:tc>
          <w:tcPr>
            <w:tcW w:type="dxa" w:w="3343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высокочистые материалы, керамические подложки, диэлектрики</w:t>
            </w:r>
          </w:p>
        </w:tc>
        <w:tc>
          <w:tcPr>
            <w:tcW w:type="dxa" w:w="3343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эффективность и надёжность преобразователей</w:t>
            </w:r>
          </w:p>
        </w:tc>
      </w:tr>
      <w:tr>
        <w:tc>
          <w:tcPr>
            <w:tcW w:type="dxa" w:w="3343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Основание трассы</w:t>
            </w:r>
          </w:p>
        </w:tc>
        <w:tc>
          <w:tcPr>
            <w:tcW w:type="dxa" w:w="3343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геоматериалы, стабилизация грунтов, высокоресурсные бетоны</w:t>
            </w:r>
          </w:p>
        </w:tc>
        <w:tc>
          <w:tcPr>
            <w:tcW w:type="dxa" w:w="3343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геометрическая стабильность и снижение ремонта</w:t>
            </w:r>
          </w:p>
        </w:tc>
      </w:tr>
    </w:tbl>
    <w:p>
      <w:r>
        <w:t>Отдельный интерес для транспортных систем представляют сверхчистые оксидные материалы, наноструктурированная керамика, новые диэлектрики и теплопроводящие компоненты для силовой электроники, сенсоров, изоляции и износостойких узлов. Их применение должно подтверждаться испытаниями в конкретном изделии и расчётом стоимости жизненного цикла.</w:t>
      </w:r>
    </w:p>
    <w:p>
      <w:pPr>
        <w:pStyle w:val="Heading1"/>
      </w:pPr>
      <w:r>
        <w:t>7. Энергетический контур</w:t>
      </w:r>
    </w:p>
    <w:p>
      <w:r>
        <w:t>Скоростные системы требуют оценки не только мощности тяги, но и полной энергетики объекта: пиковых нагрузок, рекуперации, накопления энергии, собственных нужд инфраструктуры, резервирования, подключения к сетям и качества электроэнергии.</w:t>
      </w:r>
    </w:p>
    <w:p>
      <w:pPr>
        <w:pStyle w:val="ListBullet"/>
        <w:spacing w:after="40"/>
      </w:pPr>
      <w:r>
        <w:t>тяговые подстанции и интеллектуальное управление нагрузкой;</w:t>
      </w:r>
    </w:p>
    <w:p>
      <w:pPr>
        <w:pStyle w:val="ListBullet"/>
        <w:spacing w:after="40"/>
      </w:pPr>
      <w:r>
        <w:t>рекуперативное торможение и локальные накопители;</w:t>
      </w:r>
    </w:p>
    <w:p>
      <w:pPr>
        <w:pStyle w:val="ListBullet"/>
        <w:spacing w:after="40"/>
      </w:pPr>
      <w:r>
        <w:t>микросети для критических узлов и станций;</w:t>
      </w:r>
    </w:p>
    <w:p>
      <w:pPr>
        <w:pStyle w:val="ListBullet"/>
        <w:spacing w:after="40"/>
      </w:pPr>
      <w:r>
        <w:t>системы бесперебойного питания управления, связи и безопасности;</w:t>
      </w:r>
    </w:p>
    <w:p>
      <w:pPr>
        <w:pStyle w:val="ListBullet"/>
        <w:spacing w:after="40"/>
      </w:pPr>
      <w:r>
        <w:t>для вакуумных систем — отдельный баланс энергопотребления вакуумных насосных станций и герметизации.</w:t>
      </w:r>
    </w:p>
    <w:p>
      <w:pPr>
        <w:pStyle w:val="Heading1"/>
      </w:pPr>
      <w:r>
        <w:t>8. Цифровая архитектура «ЭКВИЛИБРИУМ Скорость»</w:t>
      </w:r>
    </w:p>
    <w:p>
      <w:r>
        <w:t>Цифровой контур должен сопровождать объект на всём жизненном цикле — от выбора трассы до эксплуатации и модернизации.</w:t>
      </w:r>
    </w:p>
    <w:p>
      <w:pPr>
        <w:pStyle w:val="ListNumber"/>
        <w:spacing w:after="40"/>
      </w:pPr>
      <w:r>
        <w:t>Цифровой двойник коридора: геология, инфраструктура, энергетика, транспортные потоки.</w:t>
      </w:r>
    </w:p>
    <w:p>
      <w:pPr>
        <w:pStyle w:val="ListNumber"/>
        <w:spacing w:after="40"/>
      </w:pPr>
      <w:r>
        <w:t>Цифровой двойник подвижного состава/капсулы: динамика, температура, вибрации, ресурс.</w:t>
      </w:r>
    </w:p>
    <w:p>
      <w:pPr>
        <w:pStyle w:val="ListNumber"/>
        <w:spacing w:after="40"/>
      </w:pPr>
      <w:r>
        <w:t>Предиктивная диагностика пути, тоннеля/трубы, силовой части и систем безопасности.</w:t>
      </w:r>
    </w:p>
    <w:p>
      <w:pPr>
        <w:pStyle w:val="ListNumber"/>
        <w:spacing w:after="40"/>
      </w:pPr>
      <w:r>
        <w:t>Моделирование пассажиропотоков и грузопотоков, сценариев тарифов и расписания.</w:t>
      </w:r>
    </w:p>
    <w:p>
      <w:pPr>
        <w:pStyle w:val="ListNumber"/>
        <w:spacing w:after="40"/>
      </w:pPr>
      <w:r>
        <w:t>Единый реестр отказов, испытаний, сертификационных данных и изменений конструкции.</w:t>
      </w:r>
    </w:p>
    <w:p>
      <w:pPr>
        <w:pStyle w:val="ListNumber"/>
        <w:spacing w:after="40"/>
      </w:pPr>
      <w:r>
        <w:t>Интеграция с «ЭКВИЛИБРИУМ Транспорт» для мультимодальной маршрутизации.</w:t>
      </w:r>
    </w:p>
    <w:p>
      <w:pPr>
        <w:pStyle w:val="Heading1"/>
      </w:pPr>
      <w:r>
        <w:t>9. Подход к выбору российских коридоров</w:t>
      </w:r>
    </w:p>
    <w:p>
      <w:r>
        <w:t>Выбор конкретных маршрутов должен осуществляться на основе единой многофакторной модели, а не только по расстоянию между городами.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Критерий</w:t>
            </w:r>
          </w:p>
        </w:tc>
        <w:tc>
          <w:tcPr>
            <w:tcW w:type="dxa" w:w="5014"/>
            <w:vAlign w:val="center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Что оценивается</w:t>
            </w:r>
          </w:p>
        </w:tc>
      </w:tr>
      <w:tr>
        <w:tc>
          <w:tcPr>
            <w:tcW w:type="dxa" w:w="501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Пассажирский спрос</w:t>
            </w:r>
          </w:p>
        </w:tc>
        <w:tc>
          <w:tcPr>
            <w:tcW w:type="dxa" w:w="501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текущий и прогнозный поток, деловые и туристические поездки</w:t>
            </w:r>
          </w:p>
        </w:tc>
      </w:tr>
      <w:tr>
        <w:tc>
          <w:tcPr>
            <w:tcW w:type="dxa" w:w="501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Грузовой спрос</w:t>
            </w:r>
          </w:p>
        </w:tc>
        <w:tc>
          <w:tcPr>
            <w:tcW w:type="dxa" w:w="501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высокостоимостные, срочные и контейнерные грузы</w:t>
            </w:r>
          </w:p>
        </w:tc>
      </w:tr>
      <w:tr>
        <w:tc>
          <w:tcPr>
            <w:tcW w:type="dxa" w:w="501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Конкуренция видов транспорта</w:t>
            </w:r>
          </w:p>
        </w:tc>
        <w:tc>
          <w:tcPr>
            <w:tcW w:type="dxa" w:w="501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авиация, автомобильный и обычный железнодорожный транспорт</w:t>
            </w:r>
          </w:p>
        </w:tc>
      </w:tr>
      <w:tr>
        <w:tc>
          <w:tcPr>
            <w:tcW w:type="dxa" w:w="501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Геология и климат</w:t>
            </w:r>
          </w:p>
        </w:tc>
        <w:tc>
          <w:tcPr>
            <w:tcW w:type="dxa" w:w="501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мерзлота, сейсмика, грунты, перепады температур, водные преграды</w:t>
            </w:r>
          </w:p>
        </w:tc>
      </w:tr>
      <w:tr>
        <w:tc>
          <w:tcPr>
            <w:tcW w:type="dxa" w:w="501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Энергетика</w:t>
            </w:r>
          </w:p>
        </w:tc>
        <w:tc>
          <w:tcPr>
            <w:tcW w:type="dxa" w:w="501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доступность мощности и стоимость подключения</w:t>
            </w:r>
          </w:p>
        </w:tc>
      </w:tr>
      <w:tr>
        <w:tc>
          <w:tcPr>
            <w:tcW w:type="dxa" w:w="501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Земля и градостроительство</w:t>
            </w:r>
          </w:p>
        </w:tc>
        <w:tc>
          <w:tcPr>
            <w:tcW w:type="dxa" w:w="501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коридор отвода, станции, пересечения, шум/вибрации</w:t>
            </w:r>
          </w:p>
        </w:tc>
      </w:tr>
      <w:tr>
        <w:tc>
          <w:tcPr>
            <w:tcW w:type="dxa" w:w="501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Экономика</w:t>
            </w:r>
          </w:p>
        </w:tc>
        <w:tc>
          <w:tcPr>
            <w:tcW w:type="dxa" w:w="501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CAPEX, OPEX, стоимость жизненного цикла, социально-экономический эффект</w:t>
            </w:r>
          </w:p>
        </w:tc>
      </w:tr>
      <w:tr>
        <w:tc>
          <w:tcPr>
            <w:tcW w:type="dxa" w:w="501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Технологическая готовность</w:t>
            </w:r>
          </w:p>
        </w:tc>
        <w:tc>
          <w:tcPr>
            <w:tcW w:type="dxa" w:w="501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готовность компонентов, производств, стандартов и сервисной базы</w:t>
            </w:r>
          </w:p>
        </w:tc>
      </w:tr>
    </w:tbl>
    <w:p>
      <w:pPr>
        <w:pStyle w:val="Heading1"/>
      </w:pPr>
      <w:r>
        <w:t>10. Национальная программа: этапность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vAlign w:val="center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Этап</w:t>
            </w:r>
          </w:p>
        </w:tc>
        <w:tc>
          <w:tcPr>
            <w:tcW w:type="dxa" w:w="3343"/>
            <w:vAlign w:val="center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Содержание</w:t>
            </w:r>
          </w:p>
        </w:tc>
        <w:tc>
          <w:tcPr>
            <w:tcW w:type="dxa" w:w="3343"/>
            <w:vAlign w:val="center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Результат</w:t>
            </w:r>
          </w:p>
        </w:tc>
      </w:tr>
      <w:tr>
        <w:tc>
          <w:tcPr>
            <w:tcW w:type="dxa" w:w="3343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I. 0–2 года</w:t>
            </w:r>
          </w:p>
        </w:tc>
        <w:tc>
          <w:tcPr>
            <w:tcW w:type="dxa" w:w="3343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технологический аудит; перечень решений; моделирование; стандарты испытаний; выбор полигонов</w:t>
            </w:r>
          </w:p>
        </w:tc>
        <w:tc>
          <w:tcPr>
            <w:tcW w:type="dxa" w:w="3343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единая доказательная база</w:t>
            </w:r>
          </w:p>
        </w:tc>
      </w:tr>
      <w:tr>
        <w:tc>
          <w:tcPr>
            <w:tcW w:type="dxa" w:w="3343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II. 2–5 лет</w:t>
            </w:r>
          </w:p>
        </w:tc>
        <w:tc>
          <w:tcPr>
            <w:tcW w:type="dxa" w:w="3343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научно-испытательные полигоны; прототипы; отечественные компоненты; сертификационные методики</w:t>
            </w:r>
          </w:p>
        </w:tc>
        <w:tc>
          <w:tcPr>
            <w:tcW w:type="dxa" w:w="3343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подтверждение технологий</w:t>
            </w:r>
          </w:p>
        </w:tc>
      </w:tr>
      <w:tr>
        <w:tc>
          <w:tcPr>
            <w:tcW w:type="dxa" w:w="3343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III. 5–10 лет</w:t>
            </w:r>
          </w:p>
        </w:tc>
        <w:tc>
          <w:tcPr>
            <w:tcW w:type="dxa" w:w="3343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демонстрационные линии и ограниченные коммерческие участки для зрелых решений</w:t>
            </w:r>
          </w:p>
        </w:tc>
        <w:tc>
          <w:tcPr>
            <w:tcW w:type="dxa" w:w="3343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опыт эксплуатации</w:t>
            </w:r>
          </w:p>
        </w:tc>
      </w:tr>
      <w:tr>
        <w:tc>
          <w:tcPr>
            <w:tcW w:type="dxa" w:w="3343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IV. 10+ лет</w:t>
            </w:r>
          </w:p>
        </w:tc>
        <w:tc>
          <w:tcPr>
            <w:tcW w:type="dxa" w:w="3343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масштабирование экономически подтверждённых систем по выбранным коридорам</w:t>
            </w:r>
          </w:p>
        </w:tc>
        <w:tc>
          <w:tcPr>
            <w:tcW w:type="dxa" w:w="3343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национальная сеть нового поколения</w:t>
            </w:r>
          </w:p>
        </w:tc>
      </w:tr>
    </w:tbl>
    <w:p>
      <w:pPr>
        <w:pStyle w:val="Heading1"/>
      </w:pPr>
      <w:r>
        <w:t>11. Промышленная кооперация</w:t>
      </w:r>
    </w:p>
    <w:p>
      <w:pPr>
        <w:pStyle w:val="ListBullet"/>
        <w:spacing w:after="40"/>
      </w:pPr>
      <w:r>
        <w:t>транспортное машиностроение и вагоностроение;</w:t>
      </w:r>
    </w:p>
    <w:p>
      <w:pPr>
        <w:pStyle w:val="ListBullet"/>
        <w:spacing w:after="40"/>
      </w:pPr>
      <w:r>
        <w:t>металлургия, алюминиевая, титановая и композитная промышленность;</w:t>
      </w:r>
    </w:p>
    <w:p>
      <w:pPr>
        <w:pStyle w:val="ListBullet"/>
        <w:spacing w:after="40"/>
      </w:pPr>
      <w:r>
        <w:t>электротехника, силовая электроника и электропривод;</w:t>
      </w:r>
    </w:p>
    <w:p>
      <w:pPr>
        <w:pStyle w:val="ListBullet"/>
        <w:spacing w:after="40"/>
      </w:pPr>
      <w:r>
        <w:t>вакуумная техника и герметичные системы;</w:t>
      </w:r>
    </w:p>
    <w:p>
      <w:pPr>
        <w:pStyle w:val="ListBullet"/>
        <w:spacing w:after="40"/>
      </w:pPr>
      <w:r>
        <w:t>строительные материалы, мостовые и тоннельные технологии;</w:t>
      </w:r>
    </w:p>
    <w:p>
      <w:pPr>
        <w:pStyle w:val="ListBullet"/>
        <w:spacing w:after="40"/>
      </w:pPr>
      <w:r>
        <w:t>связь, навигация, сенсорика, автоматизация и ИИ;</w:t>
      </w:r>
    </w:p>
    <w:p>
      <w:pPr>
        <w:pStyle w:val="ListBullet"/>
        <w:spacing w:after="40"/>
      </w:pPr>
      <w:r>
        <w:t>испытательные центры, метрология, сертификация и страхование рисков;</w:t>
      </w:r>
    </w:p>
    <w:p>
      <w:pPr>
        <w:pStyle w:val="ListBullet"/>
        <w:spacing w:after="40"/>
      </w:pPr>
      <w:r>
        <w:t>университеты, отраслевые НИИ и инжиниринговые центры.</w:t>
      </w:r>
    </w:p>
    <w:p>
      <w:pPr>
        <w:pStyle w:val="Heading1"/>
      </w:pPr>
      <w:r>
        <w:t>12. Безопасность и нормативная база</w:t>
      </w:r>
    </w:p>
    <w:p>
      <w:r>
        <w:t>Для новых классов транспорта ключевым результатом НИОКР должна стать не только скорость, но и доказанная безопасность. Нормативная система должна формироваться параллельно с испытаниями.</w:t>
      </w:r>
    </w:p>
    <w:p>
      <w:pPr>
        <w:pStyle w:val="ListBullet"/>
        <w:spacing w:after="40"/>
      </w:pPr>
      <w:r>
        <w:t>функциональная безопасность систем управления;</w:t>
      </w:r>
    </w:p>
    <w:p>
      <w:pPr>
        <w:pStyle w:val="ListBullet"/>
        <w:spacing w:after="40"/>
      </w:pPr>
      <w:r>
        <w:t>пожарная и аварийная безопасность;</w:t>
      </w:r>
    </w:p>
    <w:p>
      <w:pPr>
        <w:pStyle w:val="ListBullet"/>
        <w:spacing w:after="40"/>
      </w:pPr>
      <w:r>
        <w:t>эвакуация и спасательные операции;</w:t>
      </w:r>
    </w:p>
    <w:p>
      <w:pPr>
        <w:pStyle w:val="ListBullet"/>
        <w:spacing w:after="40"/>
      </w:pPr>
      <w:r>
        <w:t>электромагнитная совместимость;</w:t>
      </w:r>
    </w:p>
    <w:p>
      <w:pPr>
        <w:pStyle w:val="ListBullet"/>
        <w:spacing w:after="40"/>
      </w:pPr>
      <w:r>
        <w:t>киберустойчивость управляющей инфраструктуры;</w:t>
      </w:r>
    </w:p>
    <w:p>
      <w:pPr>
        <w:pStyle w:val="ListBullet"/>
        <w:spacing w:after="40"/>
      </w:pPr>
      <w:r>
        <w:t>механическая и аэродинамическая безопасность;</w:t>
      </w:r>
    </w:p>
    <w:p>
      <w:pPr>
        <w:pStyle w:val="ListBullet"/>
        <w:spacing w:after="40"/>
      </w:pPr>
      <w:r>
        <w:t>контроль материалов, сварных/клеевых соединений и герметичности;</w:t>
      </w:r>
    </w:p>
    <w:p>
      <w:pPr>
        <w:pStyle w:val="ListBullet"/>
        <w:spacing w:after="40"/>
      </w:pPr>
      <w:r>
        <w:t>обязательная регистрация инцидентов и независимая верификация критических систем.</w:t>
      </w:r>
    </w:p>
    <w:p>
      <w:pPr>
        <w:pStyle w:val="Heading1"/>
      </w:pPr>
      <w:r>
        <w:t>13. Экономика и критерии принятия решений</w:t>
      </w:r>
    </w:p>
    <w:p>
      <w:r>
        <w:t>Сравнение технологий следует осуществлять по полной стоимости жизненного цикла и транспортному результату, а не по максимальной заявленной скорости.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Показатель</w:t>
            </w:r>
          </w:p>
        </w:tc>
        <w:tc>
          <w:tcPr>
            <w:tcW w:type="dxa" w:w="5014"/>
            <w:vAlign w:val="center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Содержание</w:t>
            </w:r>
          </w:p>
        </w:tc>
      </w:tr>
      <w:tr>
        <w:tc>
          <w:tcPr>
            <w:tcW w:type="dxa" w:w="501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CAPEX</w:t>
            </w:r>
          </w:p>
        </w:tc>
        <w:tc>
          <w:tcPr>
            <w:tcW w:type="dxa" w:w="501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трасса, земля, тоннели/эстакады, станции, энергетика, депо, подвижной состав</w:t>
            </w:r>
          </w:p>
        </w:tc>
      </w:tr>
      <w:tr>
        <w:tc>
          <w:tcPr>
            <w:tcW w:type="dxa" w:w="501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OPEX</w:t>
            </w:r>
          </w:p>
        </w:tc>
        <w:tc>
          <w:tcPr>
            <w:tcW w:type="dxa" w:w="501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энергия, персонал, обслуживание, вакуум/путь, уборка, охрана, связь</w:t>
            </w:r>
          </w:p>
        </w:tc>
      </w:tr>
      <w:tr>
        <w:tc>
          <w:tcPr>
            <w:tcW w:type="dxa" w:w="501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Пропускная способность</w:t>
            </w:r>
          </w:p>
        </w:tc>
        <w:tc>
          <w:tcPr>
            <w:tcW w:type="dxa" w:w="501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пассажиров или тонн груза в час/сутки</w:t>
            </w:r>
          </w:p>
        </w:tc>
      </w:tr>
      <w:tr>
        <w:tc>
          <w:tcPr>
            <w:tcW w:type="dxa" w:w="501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Надёжность</w:t>
            </w:r>
          </w:p>
        </w:tc>
        <w:tc>
          <w:tcPr>
            <w:tcW w:type="dxa" w:w="501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готовность системы и время восстановления</w:t>
            </w:r>
          </w:p>
        </w:tc>
      </w:tr>
      <w:tr>
        <w:tc>
          <w:tcPr>
            <w:tcW w:type="dxa" w:w="501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Стоимость поездки</w:t>
            </w:r>
          </w:p>
        </w:tc>
        <w:tc>
          <w:tcPr>
            <w:tcW w:type="dxa" w:w="501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для пассажира/грузоотправителя</w:t>
            </w:r>
          </w:p>
        </w:tc>
      </w:tr>
      <w:tr>
        <w:tc>
          <w:tcPr>
            <w:tcW w:type="dxa" w:w="501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Внешние эффекты</w:t>
            </w:r>
          </w:p>
        </w:tc>
        <w:tc>
          <w:tcPr>
            <w:tcW w:type="dxa" w:w="501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время, экология, развитие территорий, разгрузка других видов транспорта</w:t>
            </w:r>
          </w:p>
        </w:tc>
      </w:tr>
      <w:tr>
        <w:tc>
          <w:tcPr>
            <w:tcW w:type="dxa" w:w="501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Локализация</w:t>
            </w:r>
          </w:p>
        </w:tc>
        <w:tc>
          <w:tcPr>
            <w:tcW w:type="dxa" w:w="5014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доля отечественной добавленной стоимости и критических компонентов</w:t>
            </w:r>
          </w:p>
        </w:tc>
      </w:tr>
    </w:tbl>
    <w:p>
      <w:pPr>
        <w:pStyle w:val="Heading1"/>
      </w:pPr>
      <w:r>
        <w:t>14. Предлагаемый пилот «ЭКВИЛИБРИУМ Скорость»</w:t>
      </w:r>
    </w:p>
    <w:p>
      <w:r>
        <w:t>Предлагается не начинать с строительства магистрали, а создать федеральный научно-технологический полигон, на котором несколько классов скоростного транспорта смогут проходить сопоставимые испытания.</w:t>
      </w:r>
    </w:p>
    <w:p>
      <w:pPr>
        <w:pStyle w:val="ListBullet"/>
        <w:spacing w:after="40"/>
      </w:pPr>
      <w:r>
        <w:t>участок для высокоскоростной колёсно-рельсовой технологии;</w:t>
      </w:r>
    </w:p>
    <w:p>
      <w:pPr>
        <w:pStyle w:val="ListBullet"/>
        <w:spacing w:after="40"/>
      </w:pPr>
      <w:r>
        <w:t>участок магнитолевитационного движения;</w:t>
      </w:r>
    </w:p>
    <w:p>
      <w:pPr>
        <w:pStyle w:val="ListBullet"/>
        <w:spacing w:after="40"/>
      </w:pPr>
      <w:r>
        <w:t>короткий герметичный испытательный канал для вакуумно-трубных технологий;</w:t>
      </w:r>
    </w:p>
    <w:p>
      <w:pPr>
        <w:pStyle w:val="ListBullet"/>
        <w:spacing w:after="40"/>
      </w:pPr>
      <w:r>
        <w:t>энергетический стенд тяги, накопления и рекуперации;</w:t>
      </w:r>
    </w:p>
    <w:p>
      <w:pPr>
        <w:pStyle w:val="ListBullet"/>
        <w:spacing w:after="40"/>
      </w:pPr>
      <w:r>
        <w:t>материаловедческий и климатический блок;</w:t>
      </w:r>
    </w:p>
    <w:p>
      <w:pPr>
        <w:pStyle w:val="ListBullet"/>
        <w:spacing w:after="40"/>
      </w:pPr>
      <w:r>
        <w:t>центр цифровых двойников, диагностики и сертификационных данных.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EEF3F8"/>
            <w:vAlign w:val="center"/>
          </w:tcPr>
          <w:p>
            <w:r/>
            <w:r>
              <w:rPr>
                <w:rFonts w:ascii="Arial" w:hAnsi="Arial"/>
                <w:b/>
                <w:sz w:val="21"/>
              </w:rPr>
              <w:t>Результат пилота — не рекламная демонстрация, а государственная сравнительная матрица технологической готовности: безопасность, стоимость, ресурс, энергия, локализация, ремонтопригодность и потенциал масштабирования.</w:t>
            </w:r>
          </w:p>
        </w:tc>
      </w:tr>
    </w:tbl>
    <w:p>
      <w:pPr>
        <w:pStyle w:val="Heading1"/>
      </w:pPr>
      <w:r>
        <w:t>15. Организационная модель</w:t>
      </w:r>
    </w:p>
    <w:p>
      <w:r>
        <w:t>Для программы требуется межотраслевая координация с разделением функций: государство формирует требования и стандарты, наука — доказательную базу, промышленность — компоненты и производство, инфраструктурные компании — эксплуатационные требования, независимые центры — валидацию и сертификацию.</w:t>
      </w:r>
    </w:p>
    <w:p>
      <w:pPr>
        <w:pStyle w:val="ListBullet"/>
        <w:spacing w:after="40"/>
      </w:pPr>
      <w:r>
        <w:t>координационный совет программы;</w:t>
      </w:r>
    </w:p>
    <w:p>
      <w:pPr>
        <w:pStyle w:val="ListBullet"/>
        <w:spacing w:after="40"/>
      </w:pPr>
      <w:r>
        <w:t>научно-технический совет по скоростным транспортным системам;</w:t>
      </w:r>
    </w:p>
    <w:p>
      <w:pPr>
        <w:pStyle w:val="ListBullet"/>
        <w:spacing w:after="40"/>
      </w:pPr>
      <w:r>
        <w:t>единый реестр технологий и уровней готовности;</w:t>
      </w:r>
    </w:p>
    <w:p>
      <w:pPr>
        <w:pStyle w:val="ListBullet"/>
        <w:spacing w:after="40"/>
      </w:pPr>
      <w:r>
        <w:t>набор типовых процедур пилотирования и допуска к опытной эксплуатации;</w:t>
      </w:r>
    </w:p>
    <w:p>
      <w:pPr>
        <w:pStyle w:val="ListBullet"/>
        <w:spacing w:after="40"/>
      </w:pPr>
      <w:r>
        <w:t>механизм консорциумов и проектного финансирования;</w:t>
      </w:r>
    </w:p>
    <w:p>
      <w:pPr>
        <w:pStyle w:val="ListBullet"/>
        <w:spacing w:after="40"/>
      </w:pPr>
      <w:r>
        <w:t>публичная часть отчётности по гражданским показателям эффективности и безопасности.</w:t>
      </w:r>
    </w:p>
    <w:p>
      <w:pPr>
        <w:pStyle w:val="Heading1"/>
      </w:pPr>
      <w:r>
        <w:t>16. Итоговая позиция</w:t>
      </w:r>
    </w:p>
    <w:p>
      <w:r>
        <w:t>Россия располагает масштабом территории, научной школой, металлургией, энергетикой и транспортным машиностроением, позволяющими сформировать собственную технологическую линейку скоростного транспорта. Наиболее рациональная стратегия — параллельно развивать зрелые решения и экспериментальные платформы, не подменяя инженерную доказательность футурологией.</w:t>
      </w:r>
    </w:p>
    <w:p>
      <w:r>
        <w:t>«ЭКВИЛИБРИУМ: Гиперлупы и скоростные системы» предлагается как надтехнологическая архитектура: единая система выбора коридоров, сравнения технологий, управления НИОКР, материаловедения, энергетики, цифровых двойников, испытаний и промышленного масштабирования.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EEF3F8"/>
            <w:vAlign w:val="center"/>
          </w:tcPr>
          <w:p>
            <w:r/>
            <w:r>
              <w:rPr>
                <w:rFonts w:ascii="Arial" w:hAnsi="Arial"/>
                <w:b/>
                <w:sz w:val="21"/>
              </w:rPr>
              <w:t>Предлагаемое решение: сформировать федеральный проект «Транспорт сверхвысоких скоростей» с первым этапом в виде национального испытательного полигона и цифровой платформы «ЭКВИЛИБРИУМ Скорость».</w:t>
            </w:r>
          </w:p>
        </w:tc>
      </w:tr>
    </w:tbl>
    <w:p>
      <w:pPr>
        <w:pStyle w:val="Heading1"/>
      </w:pPr>
      <w:r>
        <w:t>Приложение. Матрица приоритетов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vAlign w:val="center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Направление</w:t>
            </w:r>
          </w:p>
        </w:tc>
        <w:tc>
          <w:tcPr>
            <w:tcW w:type="dxa" w:w="2507"/>
            <w:vAlign w:val="center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Приоритет до 2030</w:t>
            </w:r>
          </w:p>
        </w:tc>
        <w:tc>
          <w:tcPr>
            <w:tcW w:type="dxa" w:w="2507"/>
            <w:vAlign w:val="center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Приоритет 2030–2035</w:t>
            </w:r>
          </w:p>
        </w:tc>
        <w:tc>
          <w:tcPr>
            <w:tcW w:type="dxa" w:w="2507"/>
            <w:vAlign w:val="center"/>
            <w:shd w:fill="D9E2F3"/>
          </w:tcPr>
          <w:p>
            <w:r/>
            <w:r>
              <w:rPr>
                <w:rFonts w:ascii="Arial" w:hAnsi="Arial"/>
                <w:b/>
                <w:sz w:val="18"/>
              </w:rPr>
              <w:t>Горизонт после 2035</w:t>
            </w:r>
          </w:p>
        </w:tc>
      </w:tr>
      <w:tr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ВСМ</w:t>
            </w:r>
          </w:p>
        </w:tc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строительство и локализация компонентов</w:t>
            </w:r>
          </w:p>
        </w:tc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расширение сети, повышение скорости и эффективности</w:t>
            </w:r>
          </w:p>
        </w:tc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интеграция в мультимодальную сеть</w:t>
            </w:r>
          </w:p>
        </w:tc>
      </w:tr>
      <w:tr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Маглев</w:t>
            </w:r>
          </w:p>
        </w:tc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НИОКР, испытания, специализированные пилоты</w:t>
            </w:r>
          </w:p>
        </w:tc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демонстрационные/коммерческие линии при доказанной экономике</w:t>
            </w:r>
          </w:p>
        </w:tc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масштабирование на выбранных коридорах</w:t>
            </w:r>
          </w:p>
        </w:tc>
      </w:tr>
      <w:tr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Hyperloop-type</w:t>
            </w:r>
          </w:p>
        </w:tc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фундаментальные НИОКР, вакуумные стенды, безопасность</w:t>
            </w:r>
          </w:p>
        </w:tc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полигон и демонстрационные участки при подтверждении ключевых барьеров</w:t>
            </w:r>
          </w:p>
        </w:tc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коммерциализация только при доказанной безопасности и жизненном цикле</w:t>
            </w:r>
          </w:p>
        </w:tc>
      </w:tr>
      <w:tr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Автоматизированные грузовые системы</w:t>
            </w:r>
          </w:p>
        </w:tc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пилоты в портах и индустриальных зонах</w:t>
            </w:r>
          </w:p>
        </w:tc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масштабирование коридоров</w:t>
            </w:r>
          </w:p>
        </w:tc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единая сеть высокоавтоматизированной логистики</w:t>
            </w:r>
          </w:p>
        </w:tc>
      </w:tr>
      <w:tr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ЭКВИЛИБРИУМ Скорость</w:t>
            </w:r>
          </w:p>
        </w:tc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цифровой двойник, реестр, сравнительная методика</w:t>
            </w:r>
          </w:p>
        </w:tc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управление полигонами и пилотами</w:t>
            </w:r>
          </w:p>
        </w:tc>
        <w:tc>
          <w:tcPr>
            <w:tcW w:type="dxa" w:w="2507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единый цифровой слой скоростной транспортной сети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964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Стратегический концептуальный документ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sz w:val="16"/>
      </w:rPr>
      <w:t>ЭКВИЛИБРИУМ • ТРАНСПОРТ РОССИИ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 w:eastAsia="Arial"/>
      <w:b w:val="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ubtitle2">
    <w:name w:val="Subtitle2"/>
    <w:rPr>
      <w:rFonts w:ascii="Arial" w:hAnsi="Arial"/>
      <w:i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