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240" w:after="360" w:line="264" w:lineRule="auto"/>
        <w:jc w:val="center"/>
      </w:pPr>
      <w:r>
        <w:rPr>
          <w:rFonts w:ascii="Calibri" w:hAnsi="Calibri" w:eastAsia="Calibri" w:cs="Calibri"/>
          <w:b/>
          <w:i w:val="0"/>
          <w:color w:val="1D8C84"/>
          <w:sz w:val="21"/>
        </w:rPr>
        <w:t>СТРАТЕГИЧЕСКАЯ КОНЦЕПЦИЯ</w:t>
      </w:r>
    </w:p>
    <w:p>
      <w:pPr>
        <w:pStyle w:val="Title"/>
        <w:widowControl/>
        <w:jc w:val="center"/>
      </w:pPr>
      <w:r>
        <w:t>ГИДРОСФЕРА</w:t>
        <w:br/>
        <w:t>ЭКВИЛИБРИУМ</w:t>
      </w:r>
    </w:p>
    <w:p>
      <w:pPr>
        <w:widowControl/>
        <w:spacing w:before="0" w:after="100" w:line="264" w:lineRule="auto"/>
        <w:jc w:val="center"/>
      </w:pPr>
      <w:r>
        <w:rPr>
          <w:rFonts w:ascii="Calibri" w:hAnsi="Calibri" w:eastAsia="Calibri" w:cs="Calibri"/>
          <w:b/>
          <w:i w:val="0"/>
          <w:color w:val="0B6E99"/>
          <w:sz w:val="30"/>
        </w:rPr>
        <w:t>Биоценоз водных ресурсов и подводная робототехника</w:t>
      </w:r>
    </w:p>
    <w:p>
      <w:pPr>
        <w:widowControl/>
        <w:spacing w:before="0" w:after="280" w:line="264" w:lineRule="auto"/>
        <w:jc w:val="center"/>
      </w:pPr>
      <w:r>
        <w:rPr>
          <w:rFonts w:ascii="Calibri" w:hAnsi="Calibri" w:eastAsia="Calibri" w:cs="Calibri"/>
          <w:b w:val="0"/>
          <w:i w:val="0"/>
          <w:color w:val="5B6770"/>
          <w:sz w:val="23"/>
        </w:rPr>
        <w:t>Водный контур Глобальной аэрокосмической системы мониторинга и прогнозирования</w:t>
      </w:r>
    </w:p>
    <w:p>
      <w:pPr>
        <w:spacing w:before="80" w:after="80"/>
        <w:jc w:val="center"/>
      </w:pPr>
      <w:r>
        <w:drawing>
          <wp:inline xmlns:a="http://schemas.openxmlformats.org/drawingml/2006/main" xmlns:pic="http://schemas.openxmlformats.org/drawingml/2006/picture">
            <wp:extent cx="5440680" cy="2721690"/>
            <wp:docPr id="1" name="Picture 1" title="Системная формула водного контура" descr="Концентрическая схема: гидросфера, гидробиоценоз, роботизированное наблюдение и цифровой двойник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_syste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40680" cy="27216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/>
        <w:spacing w:before="120" w:after="40" w:line="264" w:lineRule="auto"/>
        <w:jc w:val="center"/>
      </w:pPr>
      <w:r>
        <w:rPr>
          <w:rFonts w:ascii="Calibri" w:hAnsi="Calibri" w:eastAsia="Calibri" w:cs="Calibri"/>
          <w:b/>
          <w:i w:val="0"/>
          <w:color w:val="133C55"/>
          <w:sz w:val="22"/>
        </w:rPr>
        <w:t>Проект ОРИОН 22:22</w:t>
      </w:r>
    </w:p>
    <w:p>
      <w:pPr>
        <w:widowControl/>
        <w:spacing w:before="0" w:after="40" w:line="264" w:lineRule="auto"/>
        <w:jc w:val="center"/>
      </w:pPr>
      <w:r>
        <w:rPr>
          <w:rFonts w:ascii="Calibri" w:hAnsi="Calibri" w:eastAsia="Calibri" w:cs="Calibri"/>
          <w:b w:val="0"/>
          <w:i w:val="0"/>
          <w:color w:val="77848D"/>
          <w:sz w:val="19"/>
        </w:rPr>
        <w:t>Инициатор концепции: Соколов Сергей Леонидович</w:t>
      </w:r>
    </w:p>
    <w:p>
      <w:pPr>
        <w:widowControl/>
        <w:spacing w:before="0" w:after="0" w:line="264" w:lineRule="auto"/>
        <w:jc w:val="center"/>
      </w:pPr>
      <w:r>
        <w:rPr>
          <w:rFonts w:ascii="Calibri" w:hAnsi="Calibri" w:eastAsia="Calibri" w:cs="Calibri"/>
          <w:b w:val="0"/>
          <w:i w:val="0"/>
          <w:color w:val="77848D"/>
          <w:sz w:val="19"/>
        </w:rPr>
        <w:t>Версия 1.0 | 26 августа 2026 года</w:t>
      </w:r>
    </w:p>
    <w:p>
      <w:pPr>
        <w:sectPr>
          <w:headerReference w:type="default" r:id="rId9"/>
          <w:footerReference w:type="default" r:id="rId10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>
      <w:pPr>
        <w:pStyle w:val="Heading1"/>
        <w:keepNext/>
      </w:pPr>
      <w:r>
        <w:t>Резюме концепции</w:t>
      </w:r>
    </w:p>
    <w:p>
      <w:pPr>
        <w:keepLines/>
        <w:spacing w:before="120" w:after="160" w:line="269" w:lineRule="auto"/>
        <w:ind w:left="173" w:right="115"/>
        <w:shd w:fill="EAF4F6"/>
        <w:widowControl/>
        <w:pBdr>
          <w:left w:val="single" w:sz="18" w:space="8" w:color="0B6E99"/>
        </w:pBdr>
      </w:pPr>
      <w:r>
        <w:rPr>
          <w:rFonts w:ascii="Calibri" w:hAnsi="Calibri" w:eastAsia="Calibri" w:cs="Calibri"/>
          <w:b/>
          <w:color w:val="0B6E99"/>
          <w:sz w:val="22"/>
        </w:rPr>
        <w:t xml:space="preserve">Ключевая идея. </w:t>
      </w:r>
      <w:r>
        <w:rPr>
          <w:rFonts w:ascii="Calibri" w:hAnsi="Calibri" w:eastAsia="Calibri" w:cs="Calibri"/>
          <w:color w:val="17242D"/>
          <w:sz w:val="22"/>
        </w:rPr>
        <w:t>Управлять необходимо не водой как отдельным объёмом ресурса, а здоровьем всей водной экосистемы - от водосбора и донной среды до биоты, инфраструктуры и человека. Подводная робототехника становится мобильным органом чувств и действия, а ЭКВИЛИБРИУМ превращает измерения в прогноз, решение и проверяемый результат.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Концепция формирует единый водный контур ГАСМП «ЭКВИЛИБРИУМ» для непрерывного наблюдения, раннего предупреждения и восстановительного управления океанами, морями, реками, озёрами, водохранилищами, болотами, подземными водами, ледниками и прибрежными зонами. Контур объединяет аэрокосмические данные, гидропосты, лаборатории, биоценозные точки мониторинга, автономные аппараты и цифровой двойник водного объекта.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Базовой единицей результата является гидроэкосистема. Её живое ядро - гидробиоценоз: взаимосвязанное сообщество микроорганизмов, планктона, растений, беспозвоночных, рыб и других организмов. Состояние оценивается не одним нормативом воды, а системой физических, химических, биологических, функциональных и восстановительных показателей.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ЭКВИЛИБРИУМ - </w:t>
      </w:r>
      <w:r>
        <w:rPr>
          <w:rFonts w:ascii="Calibri" w:hAnsi="Calibri" w:eastAsia="Calibri" w:cs="Calibri"/>
          <w:color w:val="17242D"/>
          <w:sz w:val="22"/>
        </w:rPr>
        <w:t>интеграция данных, цифровой двойник, причинный анализ, прогноз и контроль результата.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ГАСМП - </w:t>
      </w:r>
      <w:r>
        <w:rPr>
          <w:rFonts w:ascii="Calibri" w:hAnsi="Calibri" w:eastAsia="Calibri" w:cs="Calibri"/>
          <w:color w:val="17242D"/>
          <w:sz w:val="22"/>
        </w:rPr>
        <w:t>планетарное, бассейновое и межтерриториальное наблюдение.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Подводная робототехника - </w:t>
      </w:r>
      <w:r>
        <w:rPr>
          <w:rFonts w:ascii="Calibri" w:hAnsi="Calibri" w:eastAsia="Calibri" w:cs="Calibri"/>
          <w:color w:val="17242D"/>
          <w:sz w:val="22"/>
        </w:rPr>
        <w:t>мобильные измерения, подтверждение аномалий, картирование, инспекция и контролируемые операции.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ECO-PPA - </w:t>
      </w:r>
      <w:r>
        <w:rPr>
          <w:rFonts w:ascii="Calibri" w:hAnsi="Calibri" w:eastAsia="Calibri" w:cs="Calibri"/>
          <w:color w:val="17242D"/>
          <w:sz w:val="22"/>
        </w:rPr>
        <w:t>мобилизация ресурсов и оплата измеримого, независимо подтверждённого эффекта.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СПЕЦЗАЩИТА - </w:t>
      </w:r>
      <w:r>
        <w:rPr>
          <w:rFonts w:ascii="Calibri" w:hAnsi="Calibri" w:eastAsia="Calibri" w:cs="Calibri"/>
          <w:color w:val="17242D"/>
          <w:sz w:val="22"/>
        </w:rPr>
        <w:t>оператор кооперации, пилота и роботизированного флота.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ESG-IR и ЕУТ - </w:t>
      </w:r>
      <w:r>
        <w:rPr>
          <w:rFonts w:ascii="Calibri" w:hAnsi="Calibri" w:eastAsia="Calibri" w:cs="Calibri"/>
          <w:color w:val="17242D"/>
          <w:sz w:val="22"/>
        </w:rPr>
        <w:t>доказательность, верификация, совместимость данных, оборудования и процедур.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Первым практическим шагом предлагается 24-месячный пилот «ГИДРОСФЕРА-1» на Сызранском узле Волги и прилегающей акватории Саратовского водохранилища. Параметры полигона уточняются после предпроектного обследования и согласования с уполномоченными органами.</w:t>
      </w:r>
    </w:p>
    <w:p>
      <w:pPr>
        <w:pStyle w:val="Heading2"/>
        <w:keepNext/>
      </w:pPr>
      <w:r>
        <w:t>Паспорт документа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450"/>
        <w:gridCol w:w="2450"/>
        <w:gridCol w:w="1450"/>
        <w:gridCol w:w="4010"/>
      </w:tblGrid>
      <w:tr>
        <w:trPr>
          <w:tblHeader w:val="true"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Параметр</w:t>
            </w:r>
          </w:p>
        </w:tc>
        <w:tc>
          <w:tcPr>
            <w:tcW w:type="dxa" w:w="2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Содержание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Параметр</w:t>
            </w:r>
          </w:p>
        </w:tc>
        <w:tc>
          <w:tcPr>
            <w:tcW w:type="dxa" w:w="4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Статус</w:t>
            </w:r>
          </w:p>
        </w:tc>
        <w:tc>
          <w:tcPr>
            <w:tcW w:type="dxa" w:w="24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Концепция, версия 1.0</w:t>
            </w:r>
          </w:p>
        </w:tc>
        <w:tc>
          <w:tcPr>
            <w:tcW w:type="dxa" w:w="145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Надсистема</w:t>
            </w:r>
          </w:p>
        </w:tc>
        <w:tc>
          <w:tcPr>
            <w:tcW w:type="dxa" w:w="401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ОРИОН 22:22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Цифровое ядро</w:t>
            </w:r>
          </w:p>
        </w:tc>
        <w:tc>
          <w:tcPr>
            <w:tcW w:type="dxa" w:w="245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ЭКВИЛИБРИУМ</w:t>
            </w:r>
          </w:p>
        </w:tc>
        <w:tc>
          <w:tcPr>
            <w:tcW w:type="dxa" w:w="145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Наблюдение</w:t>
            </w:r>
          </w:p>
        </w:tc>
        <w:tc>
          <w:tcPr>
            <w:tcW w:type="dxa" w:w="401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ГАСМП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Исполнение</w:t>
            </w:r>
          </w:p>
        </w:tc>
        <w:tc>
          <w:tcPr>
            <w:tcW w:type="dxa" w:w="245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СПЕЦЗАЩИТА</w:t>
            </w:r>
          </w:p>
        </w:tc>
        <w:tc>
          <w:tcPr>
            <w:tcW w:type="dxa" w:w="145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Ресурс</w:t>
            </w:r>
          </w:p>
        </w:tc>
        <w:tc>
          <w:tcPr>
            <w:tcW w:type="dxa" w:w="401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ECO-PPA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Верификация</w:t>
            </w:r>
          </w:p>
        </w:tc>
        <w:tc>
          <w:tcPr>
            <w:tcW w:type="dxa" w:w="245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ESG-IR</w:t>
            </w:r>
          </w:p>
        </w:tc>
        <w:tc>
          <w:tcPr>
            <w:tcW w:type="dxa" w:w="145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Совместимость</w:t>
            </w:r>
          </w:p>
        </w:tc>
        <w:tc>
          <w:tcPr>
            <w:tcW w:type="dxa" w:w="401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ЕУТ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Горизонт</w:t>
            </w:r>
          </w:p>
        </w:tc>
        <w:tc>
          <w:tcPr>
            <w:tcW w:type="dxa" w:w="245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24 месяца</w:t>
            </w:r>
          </w:p>
        </w:tc>
        <w:tc>
          <w:tcPr>
            <w:tcW w:type="dxa" w:w="145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Полигон</w:t>
            </w:r>
          </w:p>
        </w:tc>
        <w:tc>
          <w:tcPr>
            <w:tcW w:type="dxa" w:w="40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Сызрань / Саратовское водохранилище</w:t>
            </w:r>
          </w:p>
        </w:tc>
      </w:tr>
    </w:tbl>
    <w:p>
      <w:pPr>
        <w:spacing w:before="0" w:after="40" w:line="264" w:lineRule="auto"/>
        <w:jc w:val="left"/>
      </w:pPr>
    </w:p>
    <w:p>
      <w:r>
        <w:br w:type="page"/>
      </w:r>
    </w:p>
    <w:p>
      <w:pPr>
        <w:pStyle w:val="Heading1"/>
        <w:keepNext/>
      </w:pPr>
      <w:r>
        <w:t>Содержание</w:t>
      </w:r>
    </w:p>
    <w:p>
      <w:pPr>
        <w:pStyle w:val="ListBody"/>
        <w:spacing w:after="100" w:line="280" w:lineRule="auto"/>
        <w:widowControl/>
        <w:numPr>
          <w:ilvl w:val="0"/>
          <w:numId w:val="11"/>
        </w:numPr>
      </w:pPr>
      <w:r>
        <w:rPr>
          <w:rFonts w:ascii="Calibri" w:hAnsi="Calibri" w:eastAsia="Calibri" w:cs="Calibri"/>
          <w:color w:val="17242D"/>
          <w:sz w:val="22"/>
        </w:rPr>
        <w:t>Стратегическое основание и системная формула</w:t>
      </w:r>
    </w:p>
    <w:p>
      <w:pPr>
        <w:pStyle w:val="ListBody"/>
        <w:spacing w:after="100" w:line="280" w:lineRule="auto"/>
        <w:widowControl/>
        <w:numPr>
          <w:ilvl w:val="0"/>
          <w:numId w:val="11"/>
        </w:numPr>
      </w:pPr>
      <w:r>
        <w:rPr>
          <w:rFonts w:ascii="Calibri" w:hAnsi="Calibri" w:eastAsia="Calibri" w:cs="Calibri"/>
          <w:color w:val="17242D"/>
          <w:sz w:val="22"/>
        </w:rPr>
        <w:t>Термины, объект и границы управления</w:t>
      </w:r>
    </w:p>
    <w:p>
      <w:pPr>
        <w:pStyle w:val="ListBody"/>
        <w:spacing w:after="100" w:line="280" w:lineRule="auto"/>
        <w:widowControl/>
        <w:numPr>
          <w:ilvl w:val="0"/>
          <w:numId w:val="11"/>
        </w:numPr>
      </w:pPr>
      <w:r>
        <w:rPr>
          <w:rFonts w:ascii="Calibri" w:hAnsi="Calibri" w:eastAsia="Calibri" w:cs="Calibri"/>
          <w:color w:val="17242D"/>
          <w:sz w:val="22"/>
        </w:rPr>
        <w:t>Карта гидросферы и типология водных систем</w:t>
      </w:r>
    </w:p>
    <w:p>
      <w:pPr>
        <w:pStyle w:val="ListBody"/>
        <w:spacing w:after="100" w:line="280" w:lineRule="auto"/>
        <w:widowControl/>
        <w:numPr>
          <w:ilvl w:val="0"/>
          <w:numId w:val="11"/>
        </w:numPr>
      </w:pPr>
      <w:r>
        <w:rPr>
          <w:rFonts w:ascii="Calibri" w:hAnsi="Calibri" w:eastAsia="Calibri" w:cs="Calibri"/>
          <w:color w:val="17242D"/>
          <w:sz w:val="22"/>
        </w:rPr>
        <w:t>Угрозы, дефициты и сценарии риска</w:t>
      </w:r>
    </w:p>
    <w:p>
      <w:pPr>
        <w:pStyle w:val="ListBody"/>
        <w:spacing w:after="100" w:line="280" w:lineRule="auto"/>
        <w:widowControl/>
        <w:numPr>
          <w:ilvl w:val="0"/>
          <w:numId w:val="11"/>
        </w:numPr>
      </w:pPr>
      <w:r>
        <w:rPr>
          <w:rFonts w:ascii="Calibri" w:hAnsi="Calibri" w:eastAsia="Calibri" w:cs="Calibri"/>
          <w:color w:val="17242D"/>
          <w:sz w:val="22"/>
        </w:rPr>
        <w:t>Архитектура наблюдения и биоценозная точка</w:t>
      </w:r>
    </w:p>
    <w:p>
      <w:pPr>
        <w:pStyle w:val="ListBody"/>
        <w:spacing w:after="100" w:line="280" w:lineRule="auto"/>
        <w:widowControl/>
        <w:numPr>
          <w:ilvl w:val="0"/>
          <w:numId w:val="11"/>
        </w:numPr>
      </w:pPr>
      <w:r>
        <w:rPr>
          <w:rFonts w:ascii="Calibri" w:hAnsi="Calibri" w:eastAsia="Calibri" w:cs="Calibri"/>
          <w:color w:val="17242D"/>
          <w:sz w:val="22"/>
        </w:rPr>
        <w:t>Интегральный индекс здоровья водной экосистемы</w:t>
      </w:r>
    </w:p>
    <w:p>
      <w:pPr>
        <w:pStyle w:val="ListBody"/>
        <w:spacing w:after="100" w:line="280" w:lineRule="auto"/>
        <w:widowControl/>
        <w:numPr>
          <w:ilvl w:val="0"/>
          <w:numId w:val="11"/>
        </w:numPr>
      </w:pPr>
      <w:r>
        <w:rPr>
          <w:rFonts w:ascii="Calibri" w:hAnsi="Calibri" w:eastAsia="Calibri" w:cs="Calibri"/>
          <w:color w:val="17242D"/>
          <w:sz w:val="22"/>
        </w:rPr>
        <w:t>Цифровой двойник гидросферы</w:t>
      </w:r>
    </w:p>
    <w:p>
      <w:pPr>
        <w:pStyle w:val="ListBody"/>
        <w:spacing w:after="100" w:line="280" w:lineRule="auto"/>
        <w:widowControl/>
        <w:numPr>
          <w:ilvl w:val="0"/>
          <w:numId w:val="11"/>
        </w:numPr>
      </w:pPr>
      <w:r>
        <w:rPr>
          <w:rFonts w:ascii="Calibri" w:hAnsi="Calibri" w:eastAsia="Calibri" w:cs="Calibri"/>
          <w:color w:val="17242D"/>
          <w:sz w:val="22"/>
        </w:rPr>
        <w:t>Подводная робототехника: флот, станции и сенсоры</w:t>
      </w:r>
    </w:p>
    <w:p>
      <w:pPr>
        <w:pStyle w:val="ListBody"/>
        <w:spacing w:after="100" w:line="280" w:lineRule="auto"/>
        <w:widowControl/>
        <w:numPr>
          <w:ilvl w:val="0"/>
          <w:numId w:val="11"/>
        </w:numPr>
      </w:pPr>
      <w:r>
        <w:rPr>
          <w:rFonts w:ascii="Calibri" w:hAnsi="Calibri" w:eastAsia="Calibri" w:cs="Calibri"/>
          <w:color w:val="17242D"/>
          <w:sz w:val="22"/>
        </w:rPr>
        <w:t>Автономность, безопасность и экологические ограничения</w:t>
      </w:r>
    </w:p>
    <w:p>
      <w:pPr>
        <w:pStyle w:val="ListBody"/>
        <w:spacing w:after="100" w:line="280" w:lineRule="auto"/>
        <w:widowControl/>
        <w:numPr>
          <w:ilvl w:val="0"/>
          <w:numId w:val="11"/>
        </w:numPr>
      </w:pPr>
      <w:r>
        <w:rPr>
          <w:rFonts w:ascii="Calibri" w:hAnsi="Calibri" w:eastAsia="Calibri" w:cs="Calibri"/>
          <w:color w:val="17242D"/>
          <w:sz w:val="22"/>
        </w:rPr>
        <w:t>Данные, связь, реестры и доказательность</w:t>
      </w:r>
    </w:p>
    <w:p>
      <w:pPr>
        <w:pStyle w:val="ListBody"/>
        <w:spacing w:after="100" w:line="280" w:lineRule="auto"/>
        <w:widowControl/>
        <w:numPr>
          <w:ilvl w:val="0"/>
          <w:numId w:val="11"/>
        </w:numPr>
      </w:pPr>
      <w:r>
        <w:rPr>
          <w:rFonts w:ascii="Calibri" w:hAnsi="Calibri" w:eastAsia="Calibri" w:cs="Calibri"/>
          <w:color w:val="17242D"/>
          <w:sz w:val="22"/>
        </w:rPr>
        <w:t>Управленческий цикл и реагирование</w:t>
      </w:r>
    </w:p>
    <w:p>
      <w:pPr>
        <w:pStyle w:val="ListBody"/>
        <w:spacing w:after="100" w:line="280" w:lineRule="auto"/>
        <w:widowControl/>
        <w:numPr>
          <w:ilvl w:val="0"/>
          <w:numId w:val="11"/>
        </w:numPr>
      </w:pPr>
      <w:r>
        <w:rPr>
          <w:rFonts w:ascii="Calibri" w:hAnsi="Calibri" w:eastAsia="Calibri" w:cs="Calibri"/>
          <w:color w:val="17242D"/>
          <w:sz w:val="22"/>
        </w:rPr>
        <w:t>Институциональная архитектура экосистемы</w:t>
      </w:r>
    </w:p>
    <w:p>
      <w:pPr>
        <w:pStyle w:val="ListBody"/>
        <w:spacing w:after="100" w:line="280" w:lineRule="auto"/>
        <w:widowControl/>
        <w:numPr>
          <w:ilvl w:val="0"/>
          <w:numId w:val="11"/>
        </w:numPr>
      </w:pPr>
      <w:r>
        <w:rPr>
          <w:rFonts w:ascii="Calibri" w:hAnsi="Calibri" w:eastAsia="Calibri" w:cs="Calibri"/>
          <w:color w:val="17242D"/>
          <w:sz w:val="22"/>
        </w:rPr>
        <w:t>Пилот «ГИДРОСФЕРА-1»</w:t>
      </w:r>
    </w:p>
    <w:p>
      <w:pPr>
        <w:pStyle w:val="ListBody"/>
        <w:spacing w:after="100" w:line="280" w:lineRule="auto"/>
        <w:widowControl/>
        <w:numPr>
          <w:ilvl w:val="0"/>
          <w:numId w:val="11"/>
        </w:numPr>
      </w:pPr>
      <w:r>
        <w:rPr>
          <w:rFonts w:ascii="Calibri" w:hAnsi="Calibri" w:eastAsia="Calibri" w:cs="Calibri"/>
          <w:color w:val="17242D"/>
          <w:sz w:val="22"/>
        </w:rPr>
        <w:t>Финансово-контрактная модель ECO-PPA</w:t>
      </w:r>
    </w:p>
    <w:p>
      <w:pPr>
        <w:pStyle w:val="ListBody"/>
        <w:spacing w:after="100" w:line="280" w:lineRule="auto"/>
        <w:widowControl/>
        <w:numPr>
          <w:ilvl w:val="0"/>
          <w:numId w:val="11"/>
        </w:numPr>
      </w:pPr>
      <w:r>
        <w:rPr>
          <w:rFonts w:ascii="Calibri" w:hAnsi="Calibri" w:eastAsia="Calibri" w:cs="Calibri"/>
          <w:color w:val="17242D"/>
          <w:sz w:val="22"/>
        </w:rPr>
        <w:t>Показатели результата и ESG-IR-верификация</w:t>
      </w:r>
    </w:p>
    <w:p>
      <w:pPr>
        <w:pStyle w:val="ListBody"/>
        <w:spacing w:after="100" w:line="280" w:lineRule="auto"/>
        <w:widowControl/>
        <w:numPr>
          <w:ilvl w:val="0"/>
          <w:numId w:val="11"/>
        </w:numPr>
      </w:pPr>
      <w:r>
        <w:rPr>
          <w:rFonts w:ascii="Calibri" w:hAnsi="Calibri" w:eastAsia="Calibri" w:cs="Calibri"/>
          <w:color w:val="17242D"/>
          <w:sz w:val="22"/>
        </w:rPr>
        <w:t>Дорожная карта и масштабирование</w:t>
      </w:r>
    </w:p>
    <w:p>
      <w:pPr>
        <w:pStyle w:val="ListBody"/>
        <w:spacing w:after="100" w:line="280" w:lineRule="auto"/>
        <w:widowControl/>
        <w:numPr>
          <w:ilvl w:val="0"/>
          <w:numId w:val="11"/>
        </w:numPr>
      </w:pPr>
      <w:r>
        <w:rPr>
          <w:rFonts w:ascii="Calibri" w:hAnsi="Calibri" w:eastAsia="Calibri" w:cs="Calibri"/>
          <w:color w:val="17242D"/>
          <w:sz w:val="22"/>
        </w:rPr>
        <w:t>Приложения и официальные источники</w:t>
      </w:r>
    </w:p>
    <w:p>
      <w:pPr>
        <w:keepLines/>
        <w:spacing w:before="120" w:after="160" w:line="269" w:lineRule="auto"/>
        <w:ind w:left="173" w:right="115"/>
        <w:shd w:fill="E9F5F2"/>
        <w:widowControl/>
        <w:pBdr>
          <w:left w:val="single" w:sz="18" w:space="8" w:color="1D8C84"/>
        </w:pBdr>
      </w:pPr>
      <w:r>
        <w:rPr>
          <w:rFonts w:ascii="Calibri" w:hAnsi="Calibri" w:eastAsia="Calibri" w:cs="Calibri"/>
          <w:b/>
          <w:color w:val="1D8C84"/>
          <w:sz w:val="22"/>
        </w:rPr>
        <w:t xml:space="preserve">Рабочая формула. </w:t>
      </w:r>
      <w:r>
        <w:rPr>
          <w:rFonts w:ascii="Calibri" w:hAnsi="Calibri" w:eastAsia="Calibri" w:cs="Calibri"/>
          <w:color w:val="17242D"/>
          <w:sz w:val="22"/>
        </w:rPr>
        <w:t>Гидросфера -&gt; гидроэкосистема -&gt; биоценозная точка -&gt; подводная робототехника -&gt; цифровой двойник -&gt; предупреждение и действие -&gt; ECO-PPA -&gt; ESG-IR-верификация.</w:t>
      </w:r>
    </w:p>
    <w:p>
      <w:r>
        <w:br w:type="page"/>
      </w:r>
    </w:p>
    <w:p>
      <w:pPr>
        <w:pStyle w:val="Heading1"/>
        <w:keepNext/>
      </w:pPr>
      <w:r>
        <w:t>1. Стратегическое основание и системная формула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Вода одновременно является средой жизни, климатическим регулятором, основой продовольствия и здоровья, транспортной инфраструктурой, энергетическим ресурсом и носителем рисков. Поэтому раздельное управление водоснабжением, гидротехническими сооружениями, загрязнениями, биоразнообразием и чрезвычайными ситуациями неизбежно создаёт информационные разрывы. Гидросфера требует архитектуры «система систем».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В ОРИОН 22:22 новый модуль занимает место водного контура планетарной безопасности. Он продолжает цикл ГАСМП: наблюдение -&gt; распознавание -&gt; прогнозирование -&gt; предупреждение -&gt; мобилизация -&gt; реагирование -&gt; восстановление -&gt; контроль. Отличие состоит в том, что экологический результат фиксируется на уровне конкретного водного биоценоза, а не только на уровне ведомственного показателя качества воды.</w:t>
      </w:r>
    </w:p>
    <w:p>
      <w:pPr>
        <w:keepLines/>
        <w:spacing w:before="120" w:after="160" w:line="269" w:lineRule="auto"/>
        <w:ind w:left="173" w:right="115"/>
        <w:shd w:fill="EAF4F6"/>
        <w:widowControl/>
        <w:pBdr>
          <w:left w:val="single" w:sz="18" w:space="8" w:color="0B6E99"/>
        </w:pBdr>
      </w:pPr>
      <w:r>
        <w:rPr>
          <w:rFonts w:ascii="Calibri" w:hAnsi="Calibri" w:eastAsia="Calibri" w:cs="Calibri"/>
          <w:b/>
          <w:color w:val="0B6E99"/>
          <w:sz w:val="22"/>
        </w:rPr>
        <w:t xml:space="preserve">Главный принцип. </w:t>
      </w:r>
      <w:r>
        <w:rPr>
          <w:rFonts w:ascii="Calibri" w:hAnsi="Calibri" w:eastAsia="Calibri" w:cs="Calibri"/>
          <w:color w:val="17242D"/>
          <w:sz w:val="22"/>
        </w:rPr>
        <w:t>Победа над водным кризисом - это не устранение единичной аварии, а достижение состояния, при котором угрозы выявляются до необратимого ущерба, ресурсы мобилизуются заранее, а восстановление подтверждается измерениями живой системы.</w:t>
      </w:r>
    </w:p>
    <w:p>
      <w:pPr>
        <w:pStyle w:val="Heading2"/>
        <w:keepNext/>
      </w:pPr>
      <w:r>
        <w:t>1.1. Шесть функций водного контура</w:t>
      </w:r>
    </w:p>
    <w:p>
      <w:pPr>
        <w:pStyle w:val="ListBody"/>
        <w:spacing w:after="160" w:line="280" w:lineRule="auto"/>
        <w:widowControl/>
        <w:numPr>
          <w:ilvl w:val="0"/>
          <w:numId w:val="12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Видеть. </w:t>
      </w:r>
      <w:r>
        <w:rPr>
          <w:rFonts w:ascii="Calibri" w:hAnsi="Calibri" w:eastAsia="Calibri" w:cs="Calibri"/>
          <w:color w:val="17242D"/>
          <w:sz w:val="22"/>
        </w:rPr>
        <w:t>Собрать непрерывную пространственно-временную картину воды, дна, биоты, инфраструктуры и нагрузки.</w:t>
      </w:r>
    </w:p>
    <w:p>
      <w:pPr>
        <w:pStyle w:val="ListBody"/>
        <w:spacing w:after="160" w:line="280" w:lineRule="auto"/>
        <w:widowControl/>
        <w:numPr>
          <w:ilvl w:val="0"/>
          <w:numId w:val="12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Понимать. </w:t>
      </w:r>
      <w:r>
        <w:rPr>
          <w:rFonts w:ascii="Calibri" w:hAnsi="Calibri" w:eastAsia="Calibri" w:cs="Calibri"/>
          <w:color w:val="17242D"/>
          <w:sz w:val="22"/>
        </w:rPr>
        <w:t>Различать естественную динамику, аномалию и опасное воздействие; устанавливать источник и причинные связи.</w:t>
      </w:r>
    </w:p>
    <w:p>
      <w:pPr>
        <w:pStyle w:val="ListBody"/>
        <w:spacing w:after="160" w:line="280" w:lineRule="auto"/>
        <w:widowControl/>
        <w:numPr>
          <w:ilvl w:val="0"/>
          <w:numId w:val="12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Предсказывать. </w:t>
      </w:r>
      <w:r>
        <w:rPr>
          <w:rFonts w:ascii="Calibri" w:hAnsi="Calibri" w:eastAsia="Calibri" w:cs="Calibri"/>
          <w:color w:val="17242D"/>
          <w:sz w:val="22"/>
        </w:rPr>
        <w:t>Рассчитывать распространение загрязнений, паводки, гипоксию, цветение и деградацию местообитаний.</w:t>
      </w:r>
    </w:p>
    <w:p>
      <w:pPr>
        <w:pStyle w:val="ListBody"/>
        <w:spacing w:after="160" w:line="280" w:lineRule="auto"/>
        <w:widowControl/>
        <w:numPr>
          <w:ilvl w:val="0"/>
          <w:numId w:val="12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Согласовывать. </w:t>
      </w:r>
      <w:r>
        <w:rPr>
          <w:rFonts w:ascii="Calibri" w:hAnsi="Calibri" w:eastAsia="Calibri" w:cs="Calibri"/>
          <w:color w:val="17242D"/>
          <w:sz w:val="22"/>
        </w:rPr>
        <w:t>Соединять органы власти, науку, предприятия, операторов инфраструктуры и общество вокруг единой доказательной картины.</w:t>
      </w:r>
    </w:p>
    <w:p>
      <w:pPr>
        <w:pStyle w:val="ListBody"/>
        <w:spacing w:after="160" w:line="280" w:lineRule="auto"/>
        <w:widowControl/>
        <w:numPr>
          <w:ilvl w:val="0"/>
          <w:numId w:val="12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Действовать. </w:t>
      </w:r>
      <w:r>
        <w:rPr>
          <w:rFonts w:ascii="Calibri" w:hAnsi="Calibri" w:eastAsia="Calibri" w:cs="Calibri"/>
          <w:color w:val="17242D"/>
          <w:sz w:val="22"/>
        </w:rPr>
        <w:t>Назначать проверочные и аварийные миссии, локализовать источник и проводить разрешённые восстановительные мероприятия.</w:t>
      </w:r>
    </w:p>
    <w:p>
      <w:pPr>
        <w:pStyle w:val="ListBody"/>
        <w:spacing w:after="160" w:line="280" w:lineRule="auto"/>
        <w:widowControl/>
        <w:numPr>
          <w:ilvl w:val="0"/>
          <w:numId w:val="12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Проверять. </w:t>
      </w:r>
      <w:r>
        <w:rPr>
          <w:rFonts w:ascii="Calibri" w:hAnsi="Calibri" w:eastAsia="Calibri" w:cs="Calibri"/>
          <w:color w:val="17242D"/>
          <w:sz w:val="22"/>
        </w:rPr>
        <w:t>Сравнивать состояние до и после воздействия, вести цифровой след и независимую ESG-IR-верификацию.</w:t>
      </w:r>
    </w:p>
    <w:p>
      <w:pPr>
        <w:pStyle w:val="Heading2"/>
        <w:keepNext/>
      </w:pPr>
      <w:r>
        <w:t>1.2. Принципы проектирования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бассейновый подход: границы анализа определяются потоками воды, вещества и энергии, а не только административными территориями;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биоцентричность: состояние живых сообществ рассматривается как итоговый индикатор качества среды;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многоуровневость: спутник, беспилотник, буй, донная станция, робот и лаборатория дополняют, а не заменяют друг друга;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доказательность: каждое измерение имеет координату, время, калибровку, неопределённость, признак качества и историю обработки;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предупреждение прежде реагирования: приоритет отдаётся раннему выявлению и предотвращённому ущербу;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человек в контуре решения: автономность навигации не означает автономность опасного воздействия;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открытая совместимость: протоколы ЕУТ обеспечивают подключение новых датчиков, аппаратов и участников без разрыва системы;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измеримый результат: ресурс ECO-PPA связывается с проверяемыми экологическими, экономическими и социальными эффектами.</w:t>
      </w:r>
    </w:p>
    <w:p>
      <w:pPr>
        <w:pStyle w:val="Heading1"/>
        <w:keepNext/>
      </w:pPr>
      <w:r>
        <w:t>2. Термины, объект и границы управления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Название «Биоценоз водных ресурсов» сохраняется как программная формула. В научной и нормативной части необходимо различать четыре уровня. Это исключает смешение воды как ресурса, живого сообщества и экосистемы в целом.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750"/>
        <w:gridCol w:w="4700"/>
        <w:gridCol w:w="2910"/>
      </w:tblGrid>
      <w:tr>
        <w:trPr>
          <w:tblHeader w:val="true"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8"/>
              </w:rPr>
              <w:t>Термин</w:t>
            </w:r>
          </w:p>
        </w:tc>
        <w:tc>
          <w:tcPr>
            <w:tcW w:type="dxa" w:w="4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8"/>
              </w:rPr>
              <w:t>Рабочее определение</w:t>
            </w:r>
          </w:p>
        </w:tc>
        <w:tc>
          <w:tcPr>
            <w:tcW w:type="dxa" w:w="29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8"/>
              </w:rPr>
              <w:t>Роль в системе</w:t>
            </w:r>
          </w:p>
        </w:tc>
      </w:tr>
      <w:tr>
        <w:trPr>
          <w:cantSplit/>
        </w:trPr>
        <w:tc>
          <w:tcPr>
            <w:tcW w:type="dxa" w:w="17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Гидросфера</w:t>
            </w:r>
          </w:p>
        </w:tc>
        <w:tc>
          <w:tcPr>
            <w:tcW w:type="dxa" w:w="4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Водная оболочка Земли: океаны, моря, поверхностные и подземные воды, лёд, снег и атмосферная влага.</w:t>
            </w:r>
          </w:p>
        </w:tc>
        <w:tc>
          <w:tcPr>
            <w:tcW w:type="dxa" w:w="29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Планетарный объект наблюдения</w:t>
            </w:r>
          </w:p>
        </w:tc>
      </w:tr>
      <w:tr>
        <w:trPr>
          <w:cantSplit/>
        </w:trPr>
        <w:tc>
          <w:tcPr>
            <w:tcW w:type="dxa" w:w="17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Водный объект</w:t>
            </w:r>
          </w:p>
        </w:tc>
        <w:tc>
          <w:tcPr>
            <w:tcW w:type="dxa" w:w="4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Пространственно определённое скопление воды с устойчивыми границами и режимом.</w:t>
            </w:r>
          </w:p>
        </w:tc>
        <w:tc>
          <w:tcPr>
            <w:tcW w:type="dxa" w:w="29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Единица паспортизации и права</w:t>
            </w:r>
          </w:p>
        </w:tc>
      </w:tr>
      <w:tr>
        <w:trPr>
          <w:cantSplit/>
        </w:trPr>
        <w:tc>
          <w:tcPr>
            <w:tcW w:type="dxa" w:w="17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Гидробиоценоз</w:t>
            </w:r>
          </w:p>
        </w:tc>
        <w:tc>
          <w:tcPr>
            <w:tcW w:type="dxa" w:w="4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Сообщество организмов водной среды и система их связей.</w:t>
            </w:r>
          </w:p>
        </w:tc>
        <w:tc>
          <w:tcPr>
            <w:tcW w:type="dxa" w:w="29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Живой индикатор состояния</w:t>
            </w:r>
          </w:p>
        </w:tc>
      </w:tr>
      <w:tr>
        <w:trPr>
          <w:cantSplit/>
        </w:trPr>
        <w:tc>
          <w:tcPr>
            <w:tcW w:type="dxa" w:w="17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Гидроэкосистема</w:t>
            </w:r>
          </w:p>
        </w:tc>
        <w:tc>
          <w:tcPr>
            <w:tcW w:type="dxa" w:w="4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Водный объект, биотоп, биоценоз, потоки вещества и энергии, внешние воздействия.</w:t>
            </w:r>
          </w:p>
        </w:tc>
        <w:tc>
          <w:tcPr>
            <w:tcW w:type="dxa" w:w="29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Основная единица управления результатом</w:t>
            </w:r>
          </w:p>
        </w:tc>
      </w:tr>
      <w:tr>
        <w:trPr>
          <w:cantSplit/>
        </w:trPr>
        <w:tc>
          <w:tcPr>
            <w:tcW w:type="dxa" w:w="17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Водосборный бассейн</w:t>
            </w:r>
          </w:p>
        </w:tc>
        <w:tc>
          <w:tcPr>
            <w:tcW w:type="dxa" w:w="4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Территория формирования стока и переноса веществ в водный объект.</w:t>
            </w:r>
          </w:p>
        </w:tc>
        <w:tc>
          <w:tcPr>
            <w:tcW w:type="dxa" w:w="29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Граница причинного анализа</w:t>
            </w:r>
          </w:p>
        </w:tc>
      </w:tr>
    </w:tbl>
    <w:p>
      <w:pPr>
        <w:spacing w:before="0" w:after="40" w:line="264" w:lineRule="auto"/>
        <w:jc w:val="left"/>
      </w:pPr>
    </w:p>
    <w:p>
      <w:pPr>
        <w:pStyle w:val="Heading2"/>
        <w:keepNext/>
      </w:pPr>
      <w:r>
        <w:t>2.1. Состав управляемой системы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Вода: </w:t>
      </w:r>
      <w:r>
        <w:rPr>
          <w:rFonts w:ascii="Calibri" w:hAnsi="Calibri" w:eastAsia="Calibri" w:cs="Calibri"/>
          <w:color w:val="17242D"/>
          <w:sz w:val="22"/>
        </w:rPr>
        <w:t>уровень, объём, течение, температура, солёность, прозрачность, химический состав и водообмен.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Донная среда: </w:t>
      </w:r>
      <w:r>
        <w:rPr>
          <w:rFonts w:ascii="Calibri" w:hAnsi="Calibri" w:eastAsia="Calibri" w:cs="Calibri"/>
          <w:color w:val="17242D"/>
          <w:sz w:val="22"/>
        </w:rPr>
        <w:t>рельеф, осадки, загрязнения, газовыделение, места обитания и подводная инфраструктура.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Биота: </w:t>
      </w:r>
      <w:r>
        <w:rPr>
          <w:rFonts w:ascii="Calibri" w:hAnsi="Calibri" w:eastAsia="Calibri" w:cs="Calibri"/>
          <w:color w:val="17242D"/>
          <w:sz w:val="22"/>
        </w:rPr>
        <w:t>микроорганизмы, фитопланктон, зоопланктон, макрофиты, бентос, рыбы, птицы и водные млекопитающие.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Береговой пояс: </w:t>
      </w:r>
      <w:r>
        <w:rPr>
          <w:rFonts w:ascii="Calibri" w:hAnsi="Calibri" w:eastAsia="Calibri" w:cs="Calibri"/>
          <w:color w:val="17242D"/>
          <w:sz w:val="22"/>
        </w:rPr>
        <w:t>поймы, водно-болотные угодья, нерестилища, защитная растительность и зоны рекреации.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Человек и хозяйство: </w:t>
      </w:r>
      <w:r>
        <w:rPr>
          <w:rFonts w:ascii="Calibri" w:hAnsi="Calibri" w:eastAsia="Calibri" w:cs="Calibri"/>
          <w:color w:val="17242D"/>
          <w:sz w:val="22"/>
        </w:rPr>
        <w:t>водозабор, сбросы, сельское хозяйство, судоходство, добыча, энергетика, туризм и коммунальная инфраструктура.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Управление: </w:t>
      </w:r>
      <w:r>
        <w:rPr>
          <w:rFonts w:ascii="Calibri" w:hAnsi="Calibri" w:eastAsia="Calibri" w:cs="Calibri"/>
          <w:color w:val="17242D"/>
          <w:sz w:val="22"/>
        </w:rPr>
        <w:t>правовые режимы, владельцы данных, ответственные операторы, лаборатории, аварийные службы и общественный контроль.</w:t>
      </w:r>
    </w:p>
    <w:p>
      <w:pPr>
        <w:keepLines/>
        <w:spacing w:before="120" w:after="160" w:line="269" w:lineRule="auto"/>
        <w:ind w:left="173" w:right="115"/>
        <w:shd w:fill="EAF4F6"/>
        <w:widowControl/>
        <w:pBdr>
          <w:left w:val="single" w:sz="18" w:space="8" w:color="0B6E99"/>
        </w:pBdr>
      </w:pPr>
      <w:r>
        <w:rPr>
          <w:rFonts w:ascii="Calibri" w:hAnsi="Calibri" w:eastAsia="Calibri" w:cs="Calibri"/>
          <w:b/>
          <w:color w:val="0B6E99"/>
          <w:sz w:val="22"/>
        </w:rPr>
        <w:t xml:space="preserve">Единица результата. </w:t>
      </w:r>
      <w:r>
        <w:rPr>
          <w:rFonts w:ascii="Calibri" w:hAnsi="Calibri" w:eastAsia="Calibri" w:cs="Calibri"/>
          <w:color w:val="17242D"/>
          <w:sz w:val="22"/>
        </w:rPr>
        <w:t>Паспортируется конкретная гидроэкосистема с границами, базовой линией, индексом здоровья, источниками нагрузки, инфраструктурой, владельцами процессов и проверяемой историей изменений.</w:t>
      </w:r>
    </w:p>
    <w:p>
      <w:pPr>
        <w:pStyle w:val="Heading1"/>
        <w:keepNext/>
      </w:pPr>
      <w:r>
        <w:t>3. Карта гидросферы и типология водных систем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Архитектура должна работать для различных режимов воды, но не навязывать им одинаковую модель. Для каждого типа задаются собственные нормативные диапазоны, частота наблюдения, набор биоиндикаторов и конфигурация роботизированной ячейки.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3500"/>
        <w:gridCol w:w="3960"/>
      </w:tblGrid>
      <w:tr>
        <w:trPr>
          <w:tblHeader w:val="true"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Тип</w:t>
            </w:r>
          </w:p>
        </w:tc>
        <w:tc>
          <w:tcPr>
            <w:tcW w:type="dxa" w:w="3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Ключевые процессы</w:t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Приоритет наблюдения</w:t>
            </w:r>
          </w:p>
        </w:tc>
      </w:tr>
      <w:tr>
        <w:trPr>
          <w:cantSplit/>
        </w:trPr>
        <w:tc>
          <w:tcPr>
            <w:tcW w:type="dxa" w:w="19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Океаны и моря</w:t>
            </w:r>
          </w:p>
        </w:tc>
        <w:tc>
          <w:tcPr>
            <w:tcW w:type="dxa" w:w="35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течения, теплообмен, закисление, деоксигенация, шельфовые процессы</w:t>
            </w:r>
          </w:p>
        </w:tc>
        <w:tc>
          <w:tcPr>
            <w:tcW w:type="dxa" w:w="39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профили, глайдеры, буи, акустика, биоразнообразие</w:t>
            </w:r>
          </w:p>
        </w:tc>
      </w:tr>
      <w:tr>
        <w:trPr>
          <w:cantSplit/>
        </w:trPr>
        <w:tc>
          <w:tcPr>
            <w:tcW w:type="dxa" w:w="19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Реки</w:t>
            </w:r>
          </w:p>
        </w:tc>
        <w:tc>
          <w:tcPr>
            <w:tcW w:type="dxa" w:w="35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сток, перенос загрязнений, паводки, русловая динамика</w:t>
            </w:r>
          </w:p>
        </w:tc>
        <w:tc>
          <w:tcPr>
            <w:tcW w:type="dxa" w:w="39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гидропосты, маршрутные AUV/USV, источники сброса</w:t>
            </w:r>
          </w:p>
        </w:tc>
      </w:tr>
      <w:tr>
        <w:trPr>
          <w:cantSplit/>
        </w:trPr>
        <w:tc>
          <w:tcPr>
            <w:tcW w:type="dxa" w:w="19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Озёра и водохранилища</w:t>
            </w:r>
          </w:p>
        </w:tc>
        <w:tc>
          <w:tcPr>
            <w:tcW w:type="dxa" w:w="35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стратификация, цветение, гипоксия, накопление в осадках</w:t>
            </w:r>
          </w:p>
        </w:tc>
        <w:tc>
          <w:tcPr>
            <w:tcW w:type="dxa" w:w="39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вертикальные профили, донные станции, eDNA</w:t>
            </w:r>
          </w:p>
        </w:tc>
      </w:tr>
      <w:tr>
        <w:trPr>
          <w:cantSplit/>
        </w:trPr>
        <w:tc>
          <w:tcPr>
            <w:tcW w:type="dxa" w:w="19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Болота и поймы</w:t>
            </w:r>
          </w:p>
        </w:tc>
        <w:tc>
          <w:tcPr>
            <w:tcW w:type="dxa" w:w="35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удержание воды, углерод, фильтрация и нерест</w:t>
            </w:r>
          </w:p>
        </w:tc>
        <w:tc>
          <w:tcPr>
            <w:tcW w:type="dxa" w:w="39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гидропериод, растительность, связь с руслом</w:t>
            </w:r>
          </w:p>
        </w:tc>
      </w:tr>
      <w:tr>
        <w:trPr>
          <w:cantSplit/>
        </w:trPr>
        <w:tc>
          <w:tcPr>
            <w:tcW w:type="dxa" w:w="19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Подземные воды</w:t>
            </w:r>
          </w:p>
        </w:tc>
        <w:tc>
          <w:tcPr>
            <w:tcW w:type="dxa" w:w="35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питание, уровень, миграция загрязнений</w:t>
            </w:r>
          </w:p>
        </w:tc>
        <w:tc>
          <w:tcPr>
            <w:tcW w:type="dxa" w:w="39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скважины, гидрохимия, модели потоков</w:t>
            </w:r>
          </w:p>
        </w:tc>
      </w:tr>
      <w:tr>
        <w:trPr>
          <w:cantSplit/>
        </w:trPr>
        <w:tc>
          <w:tcPr>
            <w:tcW w:type="dxa" w:w="19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Ледники и снег</w:t>
            </w:r>
          </w:p>
        </w:tc>
        <w:tc>
          <w:tcPr>
            <w:tcW w:type="dxa" w:w="35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накопление, таяние, вклад в сток</w:t>
            </w:r>
          </w:p>
        </w:tc>
        <w:tc>
          <w:tcPr>
            <w:tcW w:type="dxa" w:w="39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спутник, наземные станции, модели баланса</w:t>
            </w:r>
          </w:p>
        </w:tc>
      </w:tr>
      <w:tr>
        <w:trPr>
          <w:cantSplit/>
        </w:trPr>
        <w:tc>
          <w:tcPr>
            <w:tcW w:type="dxa" w:w="19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Эстуарии и дельты</w:t>
            </w:r>
          </w:p>
        </w:tc>
        <w:tc>
          <w:tcPr>
            <w:tcW w:type="dxa" w:w="35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смешение вод, наносы, солёностный клин</w:t>
            </w:r>
          </w:p>
        </w:tc>
        <w:tc>
          <w:tcPr>
            <w:tcW w:type="dxa" w:w="39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многослойные профили, дно, местообитания</w:t>
            </w:r>
          </w:p>
        </w:tc>
      </w:tr>
      <w:tr>
        <w:trPr>
          <w:cantSplit/>
        </w:trPr>
        <w:tc>
          <w:tcPr>
            <w:tcW w:type="dxa" w:w="19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Искусственные системы</w:t>
            </w:r>
          </w:p>
        </w:tc>
        <w:tc>
          <w:tcPr>
            <w:tcW w:type="dxa" w:w="35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водозабор, очистка, каналы, охлаждение</w:t>
            </w:r>
          </w:p>
        </w:tc>
        <w:tc>
          <w:tcPr>
            <w:tcW w:type="dxa" w:w="39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инфраструктура, эффективность, аварийные риски</w:t>
            </w:r>
          </w:p>
        </w:tc>
      </w:tr>
    </w:tbl>
    <w:p>
      <w:pPr>
        <w:spacing w:before="0" w:after="40" w:line="264" w:lineRule="auto"/>
        <w:jc w:val="left"/>
      </w:pPr>
    </w:p>
    <w:p>
      <w:pPr>
        <w:pStyle w:val="Heading2"/>
        <w:keepNext/>
      </w:pPr>
      <w:r>
        <w:t>3.1. Масштабы наблюдения</w:t>
      </w:r>
    </w:p>
    <w:p>
      <w:pPr>
        <w:pStyle w:val="ListBody"/>
        <w:spacing w:after="160" w:line="280" w:lineRule="auto"/>
        <w:widowControl/>
        <w:numPr>
          <w:ilvl w:val="0"/>
          <w:numId w:val="13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Планетарный. </w:t>
      </w:r>
      <w:r>
        <w:rPr>
          <w:rFonts w:ascii="Calibri" w:hAnsi="Calibri" w:eastAsia="Calibri" w:cs="Calibri"/>
          <w:color w:val="17242D"/>
          <w:sz w:val="22"/>
        </w:rPr>
        <w:t>Водный баланс, температура, лёд, крупные загрязнения и климатические тенденции.</w:t>
      </w:r>
    </w:p>
    <w:p>
      <w:pPr>
        <w:pStyle w:val="ListBody"/>
        <w:spacing w:after="160" w:line="280" w:lineRule="auto"/>
        <w:widowControl/>
        <w:numPr>
          <w:ilvl w:val="0"/>
          <w:numId w:val="13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Бассейновый. </w:t>
      </w:r>
      <w:r>
        <w:rPr>
          <w:rFonts w:ascii="Calibri" w:hAnsi="Calibri" w:eastAsia="Calibri" w:cs="Calibri"/>
          <w:color w:val="17242D"/>
          <w:sz w:val="22"/>
        </w:rPr>
        <w:t>Сток, паводки, засухи, перенос вещества между территориями и водными объектами.</w:t>
      </w:r>
    </w:p>
    <w:p>
      <w:pPr>
        <w:pStyle w:val="ListBody"/>
        <w:spacing w:after="160" w:line="280" w:lineRule="auto"/>
        <w:widowControl/>
        <w:numPr>
          <w:ilvl w:val="0"/>
          <w:numId w:val="13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Акваториальный. </w:t>
      </w:r>
      <w:r>
        <w:rPr>
          <w:rFonts w:ascii="Calibri" w:hAnsi="Calibri" w:eastAsia="Calibri" w:cs="Calibri"/>
          <w:color w:val="17242D"/>
          <w:sz w:val="22"/>
        </w:rPr>
        <w:t>Состояние конкретного водного объекта, донной среды, местообитаний и инфраструктуры.</w:t>
      </w:r>
    </w:p>
    <w:p>
      <w:pPr>
        <w:pStyle w:val="ListBody"/>
        <w:spacing w:after="160" w:line="280" w:lineRule="auto"/>
        <w:widowControl/>
        <w:numPr>
          <w:ilvl w:val="0"/>
          <w:numId w:val="13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Локальный. </w:t>
      </w:r>
      <w:r>
        <w:rPr>
          <w:rFonts w:ascii="Calibri" w:hAnsi="Calibri" w:eastAsia="Calibri" w:cs="Calibri"/>
          <w:color w:val="17242D"/>
          <w:sz w:val="22"/>
        </w:rPr>
        <w:t>Источник нагрузки, аварийный участок, нерестилище, водозабор, дамба, трубопровод или порт.</w:t>
      </w:r>
    </w:p>
    <w:p>
      <w:pPr>
        <w:pStyle w:val="ListBody"/>
        <w:spacing w:after="160" w:line="280" w:lineRule="auto"/>
        <w:widowControl/>
        <w:numPr>
          <w:ilvl w:val="0"/>
          <w:numId w:val="13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Микроуровень. </w:t>
      </w:r>
      <w:r>
        <w:rPr>
          <w:rFonts w:ascii="Calibri" w:hAnsi="Calibri" w:eastAsia="Calibri" w:cs="Calibri"/>
          <w:color w:val="17242D"/>
          <w:sz w:val="22"/>
        </w:rPr>
        <w:t>Проба, биоплёнка, микроорганизмы, загрязнитель, отдельный объект или дефект.</w:t>
      </w:r>
    </w:p>
    <w:p>
      <w:pPr>
        <w:pStyle w:val="Heading1"/>
        <w:keepNext/>
      </w:pPr>
      <w:r>
        <w:t>4. Угрозы, дефициты и сценарии риска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ГАСМП рассматривает угрозу как динамическое событие, а не статическую отметку о превышении. Для каждого события фиксируются вероятность, масштаб, экспозиция, скорость развития, обратимость и готовность к реагированию.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Гидрологические угрозы: </w:t>
      </w:r>
      <w:r>
        <w:rPr>
          <w:rFonts w:ascii="Calibri" w:hAnsi="Calibri" w:eastAsia="Calibri" w:cs="Calibri"/>
          <w:color w:val="17242D"/>
          <w:sz w:val="22"/>
        </w:rPr>
        <w:t>паводки, засухи, обмеление, изменение русел, штормовые нагоны, ледовые явления и разрушение берегов.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Гидрохимические угрозы: </w:t>
      </w:r>
      <w:r>
        <w:rPr>
          <w:rFonts w:ascii="Calibri" w:hAnsi="Calibri" w:eastAsia="Calibri" w:cs="Calibri"/>
          <w:color w:val="17242D"/>
          <w:sz w:val="22"/>
        </w:rPr>
        <w:t>нефтепродукты, тяжёлые металлы, биогенные элементы, фармацевтические остатки, микропластик и кислородный дефицит.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Биологические угрозы: </w:t>
      </w:r>
      <w:r>
        <w:rPr>
          <w:rFonts w:ascii="Calibri" w:hAnsi="Calibri" w:eastAsia="Calibri" w:cs="Calibri"/>
          <w:color w:val="17242D"/>
          <w:sz w:val="22"/>
        </w:rPr>
        <w:t>токсичное цветение, патогены, инвазивные виды, исчезновение ключевых видов и разрыв пищевых цепей.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Техногенные угрозы: </w:t>
      </w:r>
      <w:r>
        <w:rPr>
          <w:rFonts w:ascii="Calibri" w:hAnsi="Calibri" w:eastAsia="Calibri" w:cs="Calibri"/>
          <w:color w:val="17242D"/>
          <w:sz w:val="22"/>
        </w:rPr>
        <w:t>аварии плотин, трубопроводов, платформ, судов, очистных сооружений и подводных кабелей.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Ресурсные угрозы: </w:t>
      </w:r>
      <w:r>
        <w:rPr>
          <w:rFonts w:ascii="Calibri" w:hAnsi="Calibri" w:eastAsia="Calibri" w:cs="Calibri"/>
          <w:color w:val="17242D"/>
          <w:sz w:val="22"/>
        </w:rPr>
        <w:t>перерасход воды, истощение подземных горизонтов, незаконный промысел и конфликт пользователей.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Информационные угрозы: </w:t>
      </w:r>
      <w:r>
        <w:rPr>
          <w:rFonts w:ascii="Calibri" w:hAnsi="Calibri" w:eastAsia="Calibri" w:cs="Calibri"/>
          <w:color w:val="17242D"/>
          <w:sz w:val="22"/>
        </w:rPr>
        <w:t>пропуски наблюдений, несовместимые форматы, неподтверждённые данные, задержка передачи и кибервоздействие.</w:t>
      </w:r>
    </w:p>
    <w:p>
      <w:pPr>
        <w:pStyle w:val="Heading2"/>
        <w:keepNext/>
      </w:pPr>
      <w:r>
        <w:t>4.1. Модель приоритета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Для оперативного ранжирования используется безразмерный показатель риска:</w:t>
      </w:r>
    </w:p>
    <w:p>
      <w:pPr>
        <w:widowControl/>
        <w:spacing w:before="120" w:after="120" w:line="264" w:lineRule="auto"/>
        <w:jc w:val="center"/>
      </w:pPr>
      <w:r>
        <w:rPr>
          <w:rFonts w:ascii="Calibri" w:hAnsi="Calibri" w:eastAsia="Calibri" w:cs="Calibri"/>
          <w:b/>
          <w:i w:val="0"/>
          <w:color w:val="133C55"/>
          <w:sz w:val="28"/>
        </w:rPr>
        <w:t>R = P x S x E x (1 - G)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где P - вероятность события; S - тяжесть последствий; E - экспозиция людей, экосистем и инфраструктуры; G - готовность системы к обнаружению и реагированию. Коэффициенты нормируются в диапазоне от 0 до 1. Формула служит рамкой, а пороги утверждаются для каждого бассейна после базовой линии.</w:t>
      </w:r>
    </w:p>
    <w:p>
      <w:pPr>
        <w:keepLines/>
        <w:spacing w:before="120" w:after="160" w:line="269" w:lineRule="auto"/>
        <w:ind w:left="173" w:right="115"/>
        <w:shd w:fill="FFF8E8"/>
        <w:widowControl/>
        <w:pBdr>
          <w:left w:val="single" w:sz="18" w:space="8" w:color="B28A35"/>
        </w:pBdr>
      </w:pPr>
      <w:r>
        <w:rPr>
          <w:rFonts w:ascii="Calibri" w:hAnsi="Calibri" w:eastAsia="Calibri" w:cs="Calibri"/>
          <w:b/>
          <w:color w:val="B28A35"/>
          <w:sz w:val="22"/>
        </w:rPr>
        <w:t xml:space="preserve">Правило подтверждения. </w:t>
      </w:r>
      <w:r>
        <w:rPr>
          <w:rFonts w:ascii="Calibri" w:hAnsi="Calibri" w:eastAsia="Calibri" w:cs="Calibri"/>
          <w:color w:val="17242D"/>
          <w:sz w:val="22"/>
        </w:rPr>
        <w:t>Одно аномальное показание не признаётся происшествием. Требуется независимое подтверждение другим датчиком, аппаратом, спутниковым признаком или контрольной пробой. Для токсинов, патогенов, тяжёлых металлов и микропластика роботизированный скрининг подтверждается аккредитованной лабораторией.</w:t>
      </w:r>
    </w:p>
    <w:p>
      <w:r>
        <w:br w:type="page"/>
      </w:r>
    </w:p>
    <w:p>
      <w:pPr>
        <w:pStyle w:val="Heading1"/>
        <w:keepNext/>
      </w:pPr>
      <w:r>
        <w:t>5. Архитектура наблюдения и биоценозная точка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Система строится как сеть взаимодополняющих уровней. Космический контур видит площадь и динамику, стационарные узлы дают непрерывные ряды, роботы раскрывают глубину и локализуют источник, лаборатория обеспечивает метрологическое подтверждение, а цифровой двойник связывает факты в причинную модель.</w:t>
      </w:r>
    </w:p>
    <w:p>
      <w:pPr>
        <w:spacing w:before="80" w:after="80"/>
        <w:jc w:val="center"/>
      </w:pPr>
      <w:r>
        <w:drawing>
          <wp:inline xmlns:a="http://schemas.openxmlformats.org/drawingml/2006/main" xmlns:pic="http://schemas.openxmlformats.org/drawingml/2006/picture">
            <wp:extent cx="5806440" cy="3313426"/>
            <wp:docPr id="2" name="Picture 2" title="Архитектура водного контура" descr="Пять уровней: ГАСМП, стационарная сеть, подводная робототехника, ЭКВИЛИБРИУМ и управленческое решение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rchitectur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31342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widowControl/>
        <w:spacing w:before="80" w:after="120"/>
        <w:jc w:val="center"/>
      </w:pPr>
      <w:r>
        <w:rPr>
          <w:rFonts w:ascii="Calibri" w:hAnsi="Calibri" w:eastAsia="Calibri" w:cs="Calibri"/>
          <w:i/>
          <w:color w:val="77848D"/>
          <w:sz w:val="18"/>
        </w:rPr>
        <w:t>Рисунок 1. Многоуровневая архитектура наблюдения, анализа и действия</w:t>
      </w:r>
    </w:p>
    <w:p>
      <w:pPr>
        <w:pStyle w:val="Heading2"/>
        <w:keepNext/>
      </w:pPr>
      <w:r>
        <w:t>5.1. Гидробиоценозная точка мониторинга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Гидробиоценозная точка мониторинга (ГБТМ) - цифровой орган чувств водной территории. Это не один датчик, а паспортируемая ячейка, включающая место, стационарные сенсоры, маршруты роботов, программу пробоотбора, биоиндикаторы, каналы связи и сценарии реагирования.</w:t>
      </w:r>
    </w:p>
    <w:p>
      <w:pPr>
        <w:pStyle w:val="Heading3"/>
        <w:keepNext/>
      </w:pPr>
      <w:r>
        <w:t>Пять обязательных вопросов точки</w:t>
      </w:r>
    </w:p>
    <w:p>
      <w:pPr>
        <w:pStyle w:val="ListBody"/>
        <w:spacing w:after="160" w:line="280" w:lineRule="auto"/>
        <w:widowControl/>
        <w:numPr>
          <w:ilvl w:val="0"/>
          <w:numId w:val="14"/>
        </w:numPr>
      </w:pPr>
      <w:r>
        <w:rPr>
          <w:rFonts w:ascii="Calibri" w:hAnsi="Calibri" w:eastAsia="Calibri" w:cs="Calibri"/>
          <w:color w:val="17242D"/>
          <w:sz w:val="22"/>
        </w:rPr>
        <w:t>Что происходит с водой, дном, биотой и инфраструктурой сейчас?</w:t>
      </w:r>
    </w:p>
    <w:p>
      <w:pPr>
        <w:pStyle w:val="ListBody"/>
        <w:spacing w:after="160" w:line="280" w:lineRule="auto"/>
        <w:widowControl/>
        <w:numPr>
          <w:ilvl w:val="0"/>
          <w:numId w:val="14"/>
        </w:numPr>
      </w:pPr>
      <w:r>
        <w:rPr>
          <w:rFonts w:ascii="Calibri" w:hAnsi="Calibri" w:eastAsia="Calibri" w:cs="Calibri"/>
          <w:color w:val="17242D"/>
          <w:sz w:val="22"/>
        </w:rPr>
        <w:t>Является ли изменение естественным, допустимым или опасным?</w:t>
      </w:r>
    </w:p>
    <w:p>
      <w:pPr>
        <w:pStyle w:val="ListBody"/>
        <w:spacing w:after="160" w:line="280" w:lineRule="auto"/>
        <w:widowControl/>
        <w:numPr>
          <w:ilvl w:val="0"/>
          <w:numId w:val="14"/>
        </w:numPr>
      </w:pPr>
      <w:r>
        <w:rPr>
          <w:rFonts w:ascii="Calibri" w:hAnsi="Calibri" w:eastAsia="Calibri" w:cs="Calibri"/>
          <w:color w:val="17242D"/>
          <w:sz w:val="22"/>
        </w:rPr>
        <w:t>Где находится вероятный источник и каковы причинные связи?</w:t>
      </w:r>
    </w:p>
    <w:p>
      <w:pPr>
        <w:pStyle w:val="ListBody"/>
        <w:spacing w:after="160" w:line="280" w:lineRule="auto"/>
        <w:widowControl/>
        <w:numPr>
          <w:ilvl w:val="0"/>
          <w:numId w:val="14"/>
        </w:numPr>
      </w:pPr>
      <w:r>
        <w:rPr>
          <w:rFonts w:ascii="Calibri" w:hAnsi="Calibri" w:eastAsia="Calibri" w:cs="Calibri"/>
          <w:color w:val="17242D"/>
          <w:sz w:val="22"/>
        </w:rPr>
        <w:t>Как изменение влияет на гидробиоценоз, человека и хозяйство?</w:t>
      </w:r>
    </w:p>
    <w:p>
      <w:pPr>
        <w:pStyle w:val="ListBody"/>
        <w:spacing w:after="160" w:line="280" w:lineRule="auto"/>
        <w:widowControl/>
        <w:numPr>
          <w:ilvl w:val="0"/>
          <w:numId w:val="14"/>
        </w:numPr>
      </w:pPr>
      <w:r>
        <w:rPr>
          <w:rFonts w:ascii="Calibri" w:hAnsi="Calibri" w:eastAsia="Calibri" w:cs="Calibri"/>
          <w:color w:val="17242D"/>
          <w:sz w:val="22"/>
        </w:rPr>
        <w:t>Какие действия необходимы, кто отвечает и как будет проверен результат?</w:t>
      </w:r>
    </w:p>
    <w:p>
      <w:pPr>
        <w:pStyle w:val="Heading2"/>
        <w:keepNext/>
      </w:pPr>
      <w:r>
        <w:t>5.2. Состав базовой точки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донный или береговой мультисенсорный узел с эталонным временем и координатой;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буй-шлюз или береговой канал передачи данных;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контрольная программа пробоотбора и лабораторной сверки;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маршрут AUV/USV для пространственного расширения измерений;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биологический профиль: eDNA, планктон, бентос, рыбы, макрофиты и акустический ландшафт;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пороговые значения, правила качества, ответственные лица и журнал событий;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базовая линия, индекс состояния и сценарии проверки после воздействия.</w:t>
      </w:r>
    </w:p>
    <w:p>
      <w:pPr>
        <w:pStyle w:val="Heading1"/>
        <w:keepNext/>
      </w:pPr>
      <w:r>
        <w:t>6. Интегральный индекс здоровья водной экосистемы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Единый индекс нужен для сравнения состояния во времени и приоритизации действий, но не должен скрывать причины. Поэтому итоговая оценка всегда раскрывается по доменам, а риск и антропогенная нагрузка показываются отдельными слоями.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600"/>
        <w:gridCol w:w="2960"/>
        <w:gridCol w:w="4800"/>
      </w:tblGrid>
      <w:tr>
        <w:trPr>
          <w:tblHeader w:val="true"/>
        </w:trPr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Домен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Содержание</w:t>
            </w:r>
          </w:p>
        </w:tc>
        <w:tc>
          <w:tcPr>
            <w:tcW w:type="dxa" w:w="4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Примеры показателей</w:t>
            </w:r>
          </w:p>
        </w:tc>
      </w:tr>
      <w:tr>
        <w:trPr>
          <w:cantSplit/>
        </w:trPr>
        <w:tc>
          <w:tcPr>
            <w:tcW w:type="dxa" w:w="16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H - гидрология</w:t>
            </w:r>
          </w:p>
        </w:tc>
        <w:tc>
          <w:tcPr>
            <w:tcW w:type="dxa" w:w="29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устойчивость водного режима</w:t>
            </w:r>
          </w:p>
        </w:tc>
        <w:tc>
          <w:tcPr>
            <w:tcW w:type="dxa" w:w="48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уровень, расход, водообмен, температура, ледовый режим</w:t>
            </w:r>
          </w:p>
        </w:tc>
      </w:tr>
      <w:tr>
        <w:trPr>
          <w:cantSplit/>
        </w:trPr>
        <w:tc>
          <w:tcPr>
            <w:tcW w:type="dxa" w:w="16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C - гидрохимия</w:t>
            </w:r>
          </w:p>
        </w:tc>
        <w:tc>
          <w:tcPr>
            <w:tcW w:type="dxa" w:w="29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качество и пригодность среды</w:t>
            </w:r>
          </w:p>
        </w:tc>
        <w:tc>
          <w:tcPr>
            <w:tcW w:type="dxa" w:w="48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O2, pH, минерализация, N/P, органика, загрязнители</w:t>
            </w:r>
          </w:p>
        </w:tc>
      </w:tr>
      <w:tr>
        <w:trPr>
          <w:cantSplit/>
        </w:trPr>
        <w:tc>
          <w:tcPr>
            <w:tcW w:type="dxa" w:w="16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B - биота</w:t>
            </w:r>
          </w:p>
        </w:tc>
        <w:tc>
          <w:tcPr>
            <w:tcW w:type="dxa" w:w="29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целостность живого сообщества</w:t>
            </w:r>
          </w:p>
        </w:tc>
        <w:tc>
          <w:tcPr>
            <w:tcW w:type="dxa" w:w="48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видовое богатство, ключевые виды, планктон, бентос, рыбы</w:t>
            </w:r>
          </w:p>
        </w:tc>
      </w:tr>
      <w:tr>
        <w:trPr>
          <w:cantSplit/>
        </w:trPr>
        <w:tc>
          <w:tcPr>
            <w:tcW w:type="dxa" w:w="16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F - функции</w:t>
            </w:r>
          </w:p>
        </w:tc>
        <w:tc>
          <w:tcPr>
            <w:tcW w:type="dxa" w:w="296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работа экосистемы</w:t>
            </w:r>
          </w:p>
        </w:tc>
        <w:tc>
          <w:tcPr>
            <w:tcW w:type="dxa" w:w="48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самоочищение, продуктивность, трофические связи, углерод</w:t>
            </w:r>
          </w:p>
        </w:tc>
      </w:tr>
      <w:tr>
        <w:trPr>
          <w:cantSplit/>
        </w:trPr>
        <w:tc>
          <w:tcPr>
            <w:tcW w:type="dxa" w:w="16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K - связность</w:t>
            </w:r>
          </w:p>
        </w:tc>
        <w:tc>
          <w:tcPr>
            <w:tcW w:type="dxa" w:w="29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непрерывность местообитаний</w:t>
            </w:r>
          </w:p>
        </w:tc>
        <w:tc>
          <w:tcPr>
            <w:tcW w:type="dxa" w:w="48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миграционные пути, нерестилища, береговая связность</w:t>
            </w:r>
          </w:p>
        </w:tc>
      </w:tr>
      <w:tr>
        <w:trPr>
          <w:cantSplit/>
        </w:trPr>
        <w:tc>
          <w:tcPr>
            <w:tcW w:type="dxa" w:w="16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V - восстановимость</w:t>
            </w:r>
          </w:p>
        </w:tc>
        <w:tc>
          <w:tcPr>
            <w:tcW w:type="dxa" w:w="29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способность вернуться к норме</w:t>
            </w:r>
          </w:p>
        </w:tc>
        <w:tc>
          <w:tcPr>
            <w:tcW w:type="dxa" w:w="48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скорость восстановления, экологический резерв</w:t>
            </w:r>
          </w:p>
        </w:tc>
      </w:tr>
    </w:tbl>
    <w:p>
      <w:pPr>
        <w:spacing w:before="0" w:after="40" w:line="264" w:lineRule="auto"/>
        <w:jc w:val="left"/>
      </w:pP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Индекс рассчитывается в диапазоне от 0 до 100:</w:t>
      </w:r>
    </w:p>
    <w:p>
      <w:pPr>
        <w:widowControl/>
        <w:spacing w:before="120" w:after="120" w:line="264" w:lineRule="auto"/>
        <w:jc w:val="center"/>
      </w:pPr>
      <w:r>
        <w:rPr>
          <w:rFonts w:ascii="Calibri" w:hAnsi="Calibri" w:eastAsia="Calibri" w:cs="Calibri"/>
          <w:b/>
          <w:i w:val="0"/>
          <w:color w:val="133C55"/>
          <w:sz w:val="28"/>
        </w:rPr>
        <w:t>I_ГЭ = Σ wᵢ x Sᵢ,   Σ wᵢ = 1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Sᵢ - нормированная оценка домена, wᵢ - вес, установленный для типа водной системы и целей управления. Универсальные веса не назначаются заранее: они калибруются научно-методическим советом по референсным участкам и 90-дневной базовой линии, затем проходят независимую проверку.</w:t>
      </w:r>
    </w:p>
    <w:p>
      <w:pPr>
        <w:pStyle w:val="Heading2"/>
        <w:keepNext/>
      </w:pPr>
      <w:r>
        <w:t>6.1. Дополнительные индексы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Индекс риска R. </w:t>
      </w:r>
      <w:r>
        <w:rPr>
          <w:rFonts w:ascii="Calibri" w:hAnsi="Calibri" w:eastAsia="Calibri" w:cs="Calibri"/>
          <w:color w:val="17242D"/>
          <w:sz w:val="22"/>
        </w:rPr>
        <w:t>Вероятность и ожидаемый ущерб от подтверждённых угроз.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Индекс нагрузки L. </w:t>
      </w:r>
      <w:r>
        <w:rPr>
          <w:rFonts w:ascii="Calibri" w:hAnsi="Calibri" w:eastAsia="Calibri" w:cs="Calibri"/>
          <w:color w:val="17242D"/>
          <w:sz w:val="22"/>
        </w:rPr>
        <w:t>Интенсивность водозабора, сбросов, судоходства, добычи и преобразования берегов.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Индекс данных D. </w:t>
      </w:r>
      <w:r>
        <w:rPr>
          <w:rFonts w:ascii="Calibri" w:hAnsi="Calibri" w:eastAsia="Calibri" w:cs="Calibri"/>
          <w:color w:val="17242D"/>
          <w:sz w:val="22"/>
        </w:rPr>
        <w:t>Полнота, своевременность, калибровка, неопределённость и прослеживаемость измерений.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Индекс готовности G. </w:t>
      </w:r>
      <w:r>
        <w:rPr>
          <w:rFonts w:ascii="Calibri" w:hAnsi="Calibri" w:eastAsia="Calibri" w:cs="Calibri"/>
          <w:color w:val="17242D"/>
          <w:sz w:val="22"/>
        </w:rPr>
        <w:t>Способность обнаружить, подтвердить, локализовать и устранить событие в нормативное время.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Индекс восстановительного эффекта E. </w:t>
      </w:r>
      <w:r>
        <w:rPr>
          <w:rFonts w:ascii="Calibri" w:hAnsi="Calibri" w:eastAsia="Calibri" w:cs="Calibri"/>
          <w:color w:val="17242D"/>
          <w:sz w:val="22"/>
        </w:rPr>
        <w:t>Измеримое улучшение относительно базовой линии с учётом естественной вариабельности.</w:t>
      </w:r>
    </w:p>
    <w:p>
      <w:pPr>
        <w:keepLines/>
        <w:spacing w:before="120" w:after="160" w:line="269" w:lineRule="auto"/>
        <w:ind w:left="173" w:right="115"/>
        <w:shd w:fill="EAF4F6"/>
        <w:widowControl/>
        <w:pBdr>
          <w:left w:val="single" w:sz="18" w:space="8" w:color="0B6E99"/>
        </w:pBdr>
      </w:pPr>
      <w:r>
        <w:rPr>
          <w:rFonts w:ascii="Calibri" w:hAnsi="Calibri" w:eastAsia="Calibri" w:cs="Calibri"/>
          <w:b/>
          <w:color w:val="0B6E99"/>
          <w:sz w:val="22"/>
        </w:rPr>
        <w:t xml:space="preserve">Запрет на упрощение. </w:t>
      </w:r>
      <w:r>
        <w:rPr>
          <w:rFonts w:ascii="Calibri" w:hAnsi="Calibri" w:eastAsia="Calibri" w:cs="Calibri"/>
          <w:color w:val="17242D"/>
          <w:sz w:val="22"/>
        </w:rPr>
        <w:t>Индекс не заменяет первичные данные, экспертную интерпретацию и правовые нормативы. Любое итоговое число должно раскрываться до измерения, метода, прибора, калибровки, пробы и ответственного владельца.</w:t>
      </w:r>
    </w:p>
    <w:p>
      <w:pPr>
        <w:pStyle w:val="Heading1"/>
        <w:keepNext/>
      </w:pPr>
      <w:r>
        <w:t>7. Цифровой двойник гидросферы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Цифровой двойник - динамическая пространственно-временная модель водного объекта, которая объединяет геометрию бассейна, гидродинамику, химические процессы, биоту, инфраструктуру и сценарии управления. Это не визуальная карта, а вычислительный механизм принятия решений.</w:t>
      </w:r>
    </w:p>
    <w:p>
      <w:pPr>
        <w:pStyle w:val="Heading2"/>
        <w:keepNext/>
      </w:pPr>
      <w:r>
        <w:t>7.1. Четыре взаимосвязанные модели</w:t>
      </w:r>
    </w:p>
    <w:p>
      <w:pPr>
        <w:pStyle w:val="ListBody"/>
        <w:spacing w:after="160" w:line="280" w:lineRule="auto"/>
        <w:widowControl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Гидродинамическая. </w:t>
      </w:r>
      <w:r>
        <w:rPr>
          <w:rFonts w:ascii="Calibri" w:hAnsi="Calibri" w:eastAsia="Calibri" w:cs="Calibri"/>
          <w:color w:val="17242D"/>
          <w:sz w:val="22"/>
        </w:rPr>
        <w:t>Уровень, расход, течения, стратификация, перенос тепла, наносов и загрязнителей.</w:t>
      </w:r>
    </w:p>
    <w:p>
      <w:pPr>
        <w:pStyle w:val="ListBody"/>
        <w:spacing w:after="160" w:line="280" w:lineRule="auto"/>
        <w:widowControl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Гидрохимическая. </w:t>
      </w:r>
      <w:r>
        <w:rPr>
          <w:rFonts w:ascii="Calibri" w:hAnsi="Calibri" w:eastAsia="Calibri" w:cs="Calibri"/>
          <w:color w:val="17242D"/>
          <w:sz w:val="22"/>
        </w:rPr>
        <w:t>Кислород, биогенные элементы, органика, токсиканты, реакции и обмен с донными осадками.</w:t>
      </w:r>
    </w:p>
    <w:p>
      <w:pPr>
        <w:pStyle w:val="ListBody"/>
        <w:spacing w:after="160" w:line="280" w:lineRule="auto"/>
        <w:widowControl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Экологическая. </w:t>
      </w:r>
      <w:r>
        <w:rPr>
          <w:rFonts w:ascii="Calibri" w:hAnsi="Calibri" w:eastAsia="Calibri" w:cs="Calibri"/>
          <w:color w:val="17242D"/>
          <w:sz w:val="22"/>
        </w:rPr>
        <w:t>Местообитания, популяции, пищевые связи, продуктивность, инвазивные виды и восстановимость.</w:t>
      </w:r>
    </w:p>
    <w:p>
      <w:pPr>
        <w:pStyle w:val="ListBody"/>
        <w:spacing w:after="160" w:line="280" w:lineRule="auto"/>
        <w:widowControl/>
        <w:numPr>
          <w:ilvl w:val="0"/>
          <w:numId w:val="15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Инфраструктурно-рисковая. </w:t>
      </w:r>
      <w:r>
        <w:rPr>
          <w:rFonts w:ascii="Calibri" w:hAnsi="Calibri" w:eastAsia="Calibri" w:cs="Calibri"/>
          <w:color w:val="17242D"/>
          <w:sz w:val="22"/>
        </w:rPr>
        <w:t>Водозаборы, сбросы, плотины, трубопроводы, порты, кабели, аварийные зоны и ответственные операторы.</w:t>
      </w:r>
    </w:p>
    <w:p>
      <w:pPr>
        <w:pStyle w:val="Heading2"/>
        <w:keepNext/>
      </w:pPr>
      <w:r>
        <w:t>7.2. Четыре режима работы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«Что происходит?» </w:t>
      </w:r>
      <w:r>
        <w:rPr>
          <w:rFonts w:ascii="Calibri" w:hAnsi="Calibri" w:eastAsia="Calibri" w:cs="Calibri"/>
          <w:color w:val="17242D"/>
          <w:sz w:val="22"/>
        </w:rPr>
        <w:t>Текущее состояние и отклонение от сезонной базовой линии.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«Почему происходит?» </w:t>
      </w:r>
      <w:r>
        <w:rPr>
          <w:rFonts w:ascii="Calibri" w:hAnsi="Calibri" w:eastAsia="Calibri" w:cs="Calibri"/>
          <w:color w:val="17242D"/>
          <w:sz w:val="22"/>
        </w:rPr>
        <w:t>Источники, обратное моделирование переноса и причинные связи.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«Что произойдёт?» </w:t>
      </w:r>
      <w:r>
        <w:rPr>
          <w:rFonts w:ascii="Calibri" w:hAnsi="Calibri" w:eastAsia="Calibri" w:cs="Calibri"/>
          <w:color w:val="17242D"/>
          <w:sz w:val="22"/>
        </w:rPr>
        <w:t>Сценарии распространения и ущерба при различных погодных, гидрологических и хозяйственных условиях.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«Что делать?» </w:t>
      </w:r>
      <w:r>
        <w:rPr>
          <w:rFonts w:ascii="Calibri" w:hAnsi="Calibri" w:eastAsia="Calibri" w:cs="Calibri"/>
          <w:color w:val="17242D"/>
          <w:sz w:val="22"/>
        </w:rPr>
        <w:t>Проверочная миссия, локализация, допустимые меры, ресурсный запрос и план контроля результата.</w:t>
      </w:r>
    </w:p>
    <w:p>
      <w:pPr>
        <w:pStyle w:val="Heading2"/>
        <w:keepNext/>
      </w:pPr>
      <w:r>
        <w:t>7.3. Контур доверия к данным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Каждый факт поступает вместе с координатой, временем, идентификатором устройства, версией прошивки и миссии, методом измерения, калибровкой, неопределённостью, признаком качества и цепочкой преобразований. Исходные данные сохраняются неизменными; производные слои и прогнозы имеют версию модели и объяснение.</w:t>
      </w:r>
    </w:p>
    <w:p>
      <w:pPr>
        <w:keepLines/>
        <w:spacing w:before="120" w:after="160" w:line="269" w:lineRule="auto"/>
        <w:ind w:left="173" w:right="115"/>
        <w:shd w:fill="E9F5F2"/>
        <w:widowControl/>
        <w:pBdr>
          <w:left w:val="single" w:sz="18" w:space="8" w:color="1D8C84"/>
        </w:pBdr>
      </w:pPr>
      <w:r>
        <w:rPr>
          <w:rFonts w:ascii="Calibri" w:hAnsi="Calibri" w:eastAsia="Calibri" w:cs="Calibri"/>
          <w:b/>
          <w:color w:val="1D8C84"/>
          <w:sz w:val="22"/>
        </w:rPr>
        <w:t xml:space="preserve">Результат цифрового двойника. </w:t>
      </w:r>
      <w:r>
        <w:rPr>
          <w:rFonts w:ascii="Calibri" w:hAnsi="Calibri" w:eastAsia="Calibri" w:cs="Calibri"/>
          <w:color w:val="17242D"/>
          <w:sz w:val="22"/>
        </w:rPr>
        <w:t>Не «карта ради карты», а назначенное действие: кому проверить, каким аппаратом, в какой зоне, в какой срок, по какому протоколу и каким измерением подтвердить восстановление.</w:t>
      </w:r>
    </w:p>
    <w:p>
      <w:pPr>
        <w:pStyle w:val="Heading1"/>
        <w:keepNext/>
      </w:pPr>
      <w:r>
        <w:t>8. Подводная робототехника: флот, станции и сенсоры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Подводная робототехника формирует мобильную сенсорно-исполнительную систему водного биоценоза. Аппараты работают совместно со стационарными станциями, лабораториями и надводными шлюзами. Их задача - расширять покрытие, быстро подтверждать события и безопасно выполнять операции, недоступные или опасные для человека.</w:t>
      </w:r>
    </w:p>
    <w:p>
      <w:pPr>
        <w:spacing w:before="80" w:after="80"/>
        <w:jc w:val="center"/>
      </w:pPr>
      <w:r>
        <w:drawing>
          <wp:inline xmlns:a="http://schemas.openxmlformats.org/drawingml/2006/main" xmlns:pic="http://schemas.openxmlformats.org/drawingml/2006/picture">
            <wp:extent cx="5806440" cy="3157432"/>
            <wp:docPr id="3" name="Picture 3" title="Роботизированная ячейка" descr="Схема взаимодействия надводного шлюза, AUV, ROV, донной станции и док-станции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obotics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15743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widowControl/>
        <w:spacing w:before="80" w:after="120"/>
        <w:jc w:val="center"/>
      </w:pPr>
      <w:r>
        <w:rPr>
          <w:rFonts w:ascii="Calibri" w:hAnsi="Calibri" w:eastAsia="Calibri" w:cs="Calibri"/>
          <w:i/>
          <w:color w:val="77848D"/>
          <w:sz w:val="18"/>
        </w:rPr>
        <w:t>Рисунок 2. Базовая роботизированная ячейка водного контура</w:t>
      </w:r>
    </w:p>
    <w:p>
      <w:pPr>
        <w:pStyle w:val="Heading2"/>
        <w:keepNext/>
      </w:pPr>
      <w:r>
        <w:t>8.1. Классы аппаратов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5450"/>
        <w:gridCol w:w="1810"/>
      </w:tblGrid>
      <w:tr>
        <w:trPr>
          <w:tblHeader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Класс</w:t>
            </w:r>
          </w:p>
        </w:tc>
        <w:tc>
          <w:tcPr>
            <w:tcW w:type="dxa" w:w="5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Основная задача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Режим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Подводный глайдер</w:t>
            </w:r>
          </w:p>
        </w:tc>
        <w:tc>
          <w:tcPr>
            <w:tcW w:type="dxa" w:w="54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длительные профили температуры, солёности, кислорода, течений и хлорофилла</w:t>
            </w:r>
          </w:p>
        </w:tc>
        <w:tc>
          <w:tcPr>
            <w:tcW w:type="dxa" w:w="181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дни / недели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AUV-разведчик</w:t>
            </w:r>
          </w:p>
        </w:tc>
        <w:tc>
          <w:tcPr>
            <w:tcW w:type="dxa" w:w="54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батиметрия, картирование дна, поиск загрязнений и объектов</w:t>
            </w:r>
          </w:p>
        </w:tc>
        <w:tc>
          <w:tcPr>
            <w:tcW w:type="dxa" w:w="181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маршрутный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Hovering-AUV</w:t>
            </w:r>
          </w:p>
        </w:tc>
        <w:tc>
          <w:tcPr>
            <w:tcW w:type="dxa" w:w="54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точная работа у дамб, труб, рифов и донных станций</w:t>
            </w:r>
          </w:p>
        </w:tc>
        <w:tc>
          <w:tcPr>
            <w:tcW w:type="dxa" w:w="181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маневренный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ROV</w:t>
            </w:r>
          </w:p>
        </w:tc>
        <w:tc>
          <w:tcPr>
            <w:tcW w:type="dxa" w:w="54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видеодиагностика, пробоотбор, манипуляции под контролем оператора</w:t>
            </w:r>
          </w:p>
        </w:tc>
        <w:tc>
          <w:tcPr>
            <w:tcW w:type="dxa" w:w="181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кабельный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HROV / рабочий ROV</w:t>
            </w:r>
          </w:p>
        </w:tc>
        <w:tc>
          <w:tcPr>
            <w:tcW w:type="dxa" w:w="54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ремонт, клапаны, датчики, подъём мусора и сетей</w:t>
            </w:r>
          </w:p>
        </w:tc>
        <w:tc>
          <w:tcPr>
            <w:tcW w:type="dxa" w:w="181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операторский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Донный робот</w:t>
            </w:r>
          </w:p>
        </w:tc>
        <w:tc>
          <w:tcPr>
            <w:tcW w:type="dxa" w:w="54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осадки, кабели, трубы, места обитания и длительная инспекция</w:t>
            </w:r>
          </w:p>
        </w:tc>
        <w:tc>
          <w:tcPr>
            <w:tcW w:type="dxa" w:w="181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ползущий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Профайлер / дрифтер</w:t>
            </w:r>
          </w:p>
        </w:tc>
        <w:tc>
          <w:tcPr>
            <w:tcW w:type="dxa" w:w="54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вертикальная структура и перенос водных масс</w:t>
            </w:r>
          </w:p>
        </w:tc>
        <w:tc>
          <w:tcPr>
            <w:tcW w:type="dxa" w:w="181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дрейфующий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USV</w:t>
            </w:r>
          </w:p>
        </w:tc>
        <w:tc>
          <w:tcPr>
            <w:tcW w:type="dxa" w:w="54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навигация, связь, энергия, картирование и поддержка подводного флота</w:t>
            </w:r>
          </w:p>
        </w:tc>
        <w:tc>
          <w:tcPr>
            <w:tcW w:type="dxa" w:w="181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надводный</w:t>
            </w:r>
          </w:p>
        </w:tc>
      </w:tr>
    </w:tbl>
    <w:p>
      <w:pPr>
        <w:spacing w:before="0" w:after="40" w:line="264" w:lineRule="auto"/>
        <w:jc w:val="left"/>
      </w:pPr>
    </w:p>
    <w:p>
      <w:pPr>
        <w:pStyle w:val="Heading2"/>
        <w:keepNext/>
      </w:pPr>
      <w:r>
        <w:t>8.2. Стационарные узлы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бентосная измерительная станция для дна, осадков, придонной воды и акустического фона;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профилирующий буй с автоматическим перемещением датчиков по вертикали;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подводная обсерватория для значимых и чувствительных участков;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док-станция для стыковки, диагностики, зарядки и выгрузки данных;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навигационно-связной узел LBL/USBL и акустический ретранслятор;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калибровочная станция для проверки дрейфа сенсоров;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буй-шлюз, переводящий подводный канал в спутниковую, сотовую или радиосвязь;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береговой ситуационный пост, управляющий миссиями и цифровым двойником.</w:t>
      </w:r>
    </w:p>
    <w:p>
      <w:pPr>
        <w:pStyle w:val="Heading1"/>
        <w:keepNext/>
      </w:pPr>
      <w:r>
        <w:t>9. Сенсорный комплекс и миссии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Полезная нагрузка формируется модульно под тип водной системы и задачу. Для каждого прибора задаются точность, диапазон, частота, калибровка, дрейф и допустимость использования данных для управленческого решения.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380"/>
        <w:gridCol w:w="3280"/>
      </w:tblGrid>
      <w:tr>
        <w:trPr>
          <w:tblHeader w:val="true"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Группа</w:t>
            </w:r>
          </w:p>
        </w:tc>
        <w:tc>
          <w:tcPr>
            <w:tcW w:type="dxa" w:w="43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Средства</w:t>
            </w:r>
          </w:p>
        </w:tc>
        <w:tc>
          <w:tcPr>
            <w:tcW w:type="dxa" w:w="328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Что подтверждает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Физика воды</w:t>
            </w:r>
          </w:p>
        </w:tc>
        <w:tc>
          <w:tcPr>
            <w:tcW w:type="dxa" w:w="438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CTD, уровень, мутность, ADCP, турбулентность</w:t>
            </w:r>
          </w:p>
        </w:tc>
        <w:tc>
          <w:tcPr>
            <w:tcW w:type="dxa" w:w="328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структура воды, течения, перенос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Гидрохимия</w:t>
            </w:r>
          </w:p>
        </w:tc>
        <w:tc>
          <w:tcPr>
            <w:tcW w:type="dxa" w:w="438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O2, pH, ORP, pCO2, N/P, органика, углеводороды, метан</w:t>
            </w:r>
          </w:p>
        </w:tc>
        <w:tc>
          <w:tcPr>
            <w:tcW w:type="dxa" w:w="328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качество среды и аномалии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Биология</w:t>
            </w:r>
          </w:p>
        </w:tc>
        <w:tc>
          <w:tcPr>
            <w:tcW w:type="dxa" w:w="438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хлорофилл-a, фикоцианин, eDNA, микроскопия, гидрофоны</w:t>
            </w:r>
          </w:p>
        </w:tc>
        <w:tc>
          <w:tcPr>
            <w:tcW w:type="dxa" w:w="328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цветение, виды, биомасса, акустика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Дно</w:t>
            </w:r>
          </w:p>
        </w:tc>
        <w:tc>
          <w:tcPr>
            <w:tcW w:type="dxa" w:w="438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многолучевой и боковой сонар, профилограф, камеры, лазер</w:t>
            </w:r>
          </w:p>
        </w:tc>
        <w:tc>
          <w:tcPr>
            <w:tcW w:type="dxa" w:w="328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рельеф, осадки, местообитания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Инфраструктура</w:t>
            </w:r>
          </w:p>
        </w:tc>
        <w:tc>
          <w:tcPr>
            <w:tcW w:type="dxa" w:w="438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толщинометрия, коррозия, вибрации, деформации, течи</w:t>
            </w:r>
          </w:p>
        </w:tc>
        <w:tc>
          <w:tcPr>
            <w:tcW w:type="dxa" w:w="328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техническое состояние и риск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Навигация</w:t>
            </w:r>
          </w:p>
        </w:tc>
        <w:tc>
          <w:tcPr>
            <w:tcW w:type="dxa" w:w="438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INS, DVL, SLAM, LBL/USBL, GNSS после всплытия</w:t>
            </w:r>
          </w:p>
        </w:tc>
        <w:tc>
          <w:tcPr>
            <w:tcW w:type="dxa" w:w="328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координата, маршрут, безопасность</w:t>
            </w:r>
          </w:p>
        </w:tc>
      </w:tr>
    </w:tbl>
    <w:p>
      <w:pPr>
        <w:spacing w:before="0" w:after="40" w:line="264" w:lineRule="auto"/>
        <w:jc w:val="left"/>
      </w:pPr>
    </w:p>
    <w:p>
      <w:pPr>
        <w:pStyle w:val="Heading2"/>
        <w:keepNext/>
      </w:pPr>
      <w:r>
        <w:t>9.1. Типовой набор миссий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создание батиметрической и биотопной карты;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построение четырёхмерной картины водной толщи;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поиск гипоксии, эвтрофикации и вредоносного цветения;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локализация нефтяных, химических и коммунальных сбросов;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контроль миграций, нерестилищ, биомассы и инвазивных видов;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инспекция плотин, водозаборов, труб, кабелей и портовых сооружений;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обнаружение потерянных сетей, мусора и опасных объектов;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контроль состояния до и после природоохранных мероприятий.</w:t>
      </w:r>
    </w:p>
    <w:p>
      <w:pPr>
        <w:pStyle w:val="Heading2"/>
        <w:keepNext/>
      </w:pPr>
      <w:r>
        <w:t>9.2. Цифровой паспорт аппарата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Каждый робот и стационарный узел имеет паспорт: рабочая глубина, автономность, полезная нагрузка, точность навигации, акустический профиль, энергетический резерв, допустимые условия, история калибровки, техническое обслуживание, версия программного обеспечения и безопасный сценарий отказа.</w:t>
      </w:r>
    </w:p>
    <w:p>
      <w:pPr>
        <w:pStyle w:val="Heading1"/>
        <w:keepNext/>
      </w:pPr>
      <w:r>
        <w:t>10. Автономность, безопасность и экологические ограничения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Архитектура разделяет автономность движения, автономность наблюдения и право на воздействие. Робот может самостоятельно перестроить маршрут в пределах утверждённой миссии, но не получает права на опасное материальное воздействие без решения уполномоченного человека.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4860"/>
        <w:gridCol w:w="3300"/>
      </w:tblGrid>
      <w:tr>
        <w:trPr>
          <w:tblHeader w:val="true"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8"/>
              </w:rPr>
              <w:t>Уровень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8"/>
              </w:rPr>
              <w:t>Возможности</w:t>
            </w:r>
          </w:p>
        </w:tc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8"/>
              </w:rPr>
              <w:t>Допуск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A0</w:t>
            </w:r>
          </w:p>
        </w:tc>
        <w:tc>
          <w:tcPr>
            <w:tcW w:type="dxa" w:w="486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ручное управление</w:t>
            </w:r>
          </w:p>
        </w:tc>
        <w:tc>
          <w:tcPr>
            <w:tcW w:type="dxa" w:w="33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оператор выполняет все действия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A1</w:t>
            </w:r>
          </w:p>
        </w:tc>
        <w:tc>
          <w:tcPr>
            <w:tcW w:type="dxa" w:w="48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удержание курса, глубины и позиции</w:t>
            </w:r>
          </w:p>
        </w:tc>
        <w:tc>
          <w:tcPr>
            <w:tcW w:type="dxa" w:w="33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ассистированный режим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A2</w:t>
            </w:r>
          </w:p>
        </w:tc>
        <w:tc>
          <w:tcPr>
            <w:tcW w:type="dxa" w:w="48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следование утверждённому маршруту и сбор данных</w:t>
            </w:r>
          </w:p>
        </w:tc>
        <w:tc>
          <w:tcPr>
            <w:tcW w:type="dxa" w:w="33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автоматический маршрут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A3</w:t>
            </w:r>
          </w:p>
        </w:tc>
        <w:tc>
          <w:tcPr>
            <w:tcW w:type="dxa" w:w="48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миссия и обход препятствий</w:t>
            </w:r>
          </w:p>
        </w:tc>
        <w:tc>
          <w:tcPr>
            <w:tcW w:type="dxa" w:w="33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самостоятельное наблюдение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A4</w:t>
            </w:r>
          </w:p>
        </w:tc>
        <w:tc>
          <w:tcPr>
            <w:tcW w:type="dxa" w:w="48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перестроение маршрута по аномалии в геозоне</w:t>
            </w:r>
          </w:p>
        </w:tc>
        <w:tc>
          <w:tcPr>
            <w:tcW w:type="dxa" w:w="33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наблюдение и действия I1</w:t>
            </w:r>
          </w:p>
        </w:tc>
      </w:tr>
      <w:tr>
        <w:trPr>
          <w:cantSplit/>
        </w:trPr>
        <w:tc>
          <w:tcPr>
            <w:tcW w:type="dxa" w:w="12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A5</w:t>
            </w:r>
          </w:p>
        </w:tc>
        <w:tc>
          <w:tcPr>
            <w:tcW w:type="dxa" w:w="48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кооперация группы аппаратов</w:t>
            </w:r>
          </w:p>
        </w:tc>
        <w:tc>
          <w:tcPr>
            <w:tcW w:type="dxa" w:w="33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только утверждённые наблюдательные задачи</w:t>
            </w:r>
          </w:p>
        </w:tc>
      </w:tr>
    </w:tbl>
    <w:p>
      <w:pPr>
        <w:spacing w:before="0" w:after="40" w:line="264" w:lineRule="auto"/>
        <w:jc w:val="left"/>
      </w:pPr>
    </w:p>
    <w:p>
      <w:pPr>
        <w:pStyle w:val="Heading2"/>
        <w:keepNext/>
      </w:pPr>
      <w:r>
        <w:t>10.1. Классы воздействия</w:t>
      </w:r>
    </w:p>
    <w:p>
      <w:pPr>
        <w:pStyle w:val="ListBody"/>
        <w:spacing w:after="160" w:line="280" w:lineRule="auto"/>
        <w:widowControl/>
        <w:numPr>
          <w:ilvl w:val="0"/>
          <w:numId w:val="16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I0 - бесконтактное. </w:t>
      </w:r>
      <w:r>
        <w:rPr>
          <w:rFonts w:ascii="Calibri" w:hAnsi="Calibri" w:eastAsia="Calibri" w:cs="Calibri"/>
          <w:color w:val="17242D"/>
          <w:sz w:val="22"/>
        </w:rPr>
        <w:t>Съёмка, акустическое наблюдение, картирование и измерения.</w:t>
      </w:r>
    </w:p>
    <w:p>
      <w:pPr>
        <w:pStyle w:val="ListBody"/>
        <w:spacing w:after="160" w:line="280" w:lineRule="auto"/>
        <w:widowControl/>
        <w:numPr>
          <w:ilvl w:val="0"/>
          <w:numId w:val="16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I1 - малое обратимое. </w:t>
      </w:r>
      <w:r>
        <w:rPr>
          <w:rFonts w:ascii="Calibri" w:hAnsi="Calibri" w:eastAsia="Calibri" w:cs="Calibri"/>
          <w:color w:val="17242D"/>
          <w:sz w:val="22"/>
        </w:rPr>
        <w:t>Регламентированный отбор проб, временная метка, установка датчика. Допускается в утверждённой миссии.</w:t>
      </w:r>
    </w:p>
    <w:p>
      <w:pPr>
        <w:pStyle w:val="ListBody"/>
        <w:spacing w:after="160" w:line="280" w:lineRule="auto"/>
        <w:widowControl/>
        <w:numPr>
          <w:ilvl w:val="0"/>
          <w:numId w:val="16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I2 - локальное техническое. </w:t>
      </w:r>
      <w:r>
        <w:rPr>
          <w:rFonts w:ascii="Calibri" w:hAnsi="Calibri" w:eastAsia="Calibri" w:cs="Calibri"/>
          <w:color w:val="17242D"/>
          <w:sz w:val="22"/>
        </w:rPr>
        <w:t>Перекрытие клапана, установка заграждения или сорбента, ремонт, извлечение мусора. Только после подтверждения оператором.</w:t>
      </w:r>
    </w:p>
    <w:p>
      <w:pPr>
        <w:pStyle w:val="ListBody"/>
        <w:spacing w:after="160" w:line="280" w:lineRule="auto"/>
        <w:widowControl/>
        <w:numPr>
          <w:ilvl w:val="0"/>
          <w:numId w:val="16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I3 - экосистемное. </w:t>
      </w:r>
      <w:r>
        <w:rPr>
          <w:rFonts w:ascii="Calibri" w:hAnsi="Calibri" w:eastAsia="Calibri" w:cs="Calibri"/>
          <w:color w:val="17242D"/>
          <w:sz w:val="22"/>
        </w:rPr>
        <w:t>Химическая обработка, дноуглубление, вселение или изъятие организмов, изменение гидрологического режима. Для автономных роботов запрещено; требуется отдельный проект, экологическая оценка и разрешение.</w:t>
      </w:r>
    </w:p>
    <w:p>
      <w:pPr>
        <w:pStyle w:val="Heading2"/>
        <w:keepNext/>
      </w:pPr>
      <w:r>
        <w:t>10.2. Три независимых контура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Контур миссии - </w:t>
      </w:r>
      <w:r>
        <w:rPr>
          <w:rFonts w:ascii="Calibri" w:hAnsi="Calibri" w:eastAsia="Calibri" w:cs="Calibri"/>
          <w:color w:val="17242D"/>
          <w:sz w:val="22"/>
        </w:rPr>
        <w:t>маршрут, измерения, обработка и выполнение задания.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Контур безопасности - </w:t>
      </w:r>
      <w:r>
        <w:rPr>
          <w:rFonts w:ascii="Calibri" w:hAnsi="Calibri" w:eastAsia="Calibri" w:cs="Calibri"/>
          <w:color w:val="17242D"/>
          <w:sz w:val="22"/>
        </w:rPr>
        <w:t>глубина, столкновения, геозона, энергия, утечка, связь и ограничения среды.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Контур спасения - </w:t>
      </w:r>
      <w:r>
        <w:rPr>
          <w:rFonts w:ascii="Calibri" w:hAnsi="Calibri" w:eastAsia="Calibri" w:cs="Calibri"/>
          <w:color w:val="17242D"/>
          <w:sz w:val="22"/>
        </w:rPr>
        <w:t>остановка, возврат, всплытие, сброс балласта, маяк и поиск.</w:t>
      </w:r>
    </w:p>
    <w:p>
      <w:pPr>
        <w:pStyle w:val="Heading2"/>
        <w:keepNext/>
      </w:pPr>
      <w:r>
        <w:t>10.3. Обязательные ограничения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подписанные прошивки и миссии, уникальная машинная идентичность, журнал команд и изменений;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двойное подтверждение опасных операций и остановка манипуляторов при потере связи;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геозоны, лимиты глубины, времени, скорости и энергетический резерв для возврата;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тихий режим около нерестилищ и морских млекопитающих, лимит активной акустической мощности;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очистка и обеззараживание аппаратов между водными объектами для исключения переноса патогенов и инвазивных видов;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отсутствие полностью автономного применения химических и биологических средств.</w:t>
      </w:r>
    </w:p>
    <w:p>
      <w:pPr>
        <w:pStyle w:val="Heading1"/>
        <w:keepNext/>
      </w:pPr>
      <w:r>
        <w:t>11. Данные, связь, реестры и доказательность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Подводная среда ограничивает дальность и скорость связи, поэтому сеть строится многоуровнево. Акустический канал передаёт команды и ключевую телеметрию, оптический канал используется на малой дистанции и у док-станции, а полный массив данных сохраняется на борту и выгружается по принципу store-and-forward.</w:t>
      </w:r>
    </w:p>
    <w:p>
      <w:pPr>
        <w:pStyle w:val="Heading2"/>
        <w:keepNext/>
      </w:pPr>
      <w:r>
        <w:t>11.1. Каналы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акустическая связь - дальний подводный канал команд и телеметрии;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оптическая связь - высокоскоростная передача на малой дистанции;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индукционная связь - стыковка и локальный обмен;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волоконно-оптический кабель - ROV и стационарные обсерватории;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спутниковая, сотовая и радиосвязь - через буй или USV;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приоритет пакетов: авария -&gt; состояние аппарата -&gt; предупреждение -&gt; научные данные.</w:t>
      </w:r>
    </w:p>
    <w:p>
      <w:pPr>
        <w:pStyle w:val="Heading2"/>
        <w:keepNext/>
      </w:pPr>
      <w:r>
        <w:t>11.2. Тринадцать базовых реестров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Реестровая архитектура связывает наблюдение, решение, ресурс и результат. Каждый объект имеет постоянный идентификатор и историю версий.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650"/>
        <w:gridCol w:w="2900"/>
        <w:gridCol w:w="5810"/>
      </w:tblGrid>
      <w:tr>
        <w:trPr>
          <w:tblHeader w:val="true"/>
        </w:trPr>
        <w:tc>
          <w:tcPr>
            <w:tcW w:type="dxa" w:w="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№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Реестр</w:t>
            </w:r>
          </w:p>
        </w:tc>
        <w:tc>
          <w:tcPr>
            <w:tcW w:type="dxa" w:w="5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Ключевая сущность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1</w:t>
            </w:r>
          </w:p>
        </w:tc>
        <w:tc>
          <w:tcPr>
            <w:tcW w:type="dxa" w:w="290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Водные объекты</w:t>
            </w:r>
          </w:p>
        </w:tc>
        <w:tc>
          <w:tcPr>
            <w:tcW w:type="dxa" w:w="58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границы, режим, статус и владельцы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2</w:t>
            </w:r>
          </w:p>
        </w:tc>
        <w:tc>
          <w:tcPr>
            <w:tcW w:type="dxa" w:w="29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Водосборы и потоки</w:t>
            </w:r>
          </w:p>
        </w:tc>
        <w:tc>
          <w:tcPr>
            <w:tcW w:type="dxa" w:w="58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сток, притоки, перенос и связи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3</w:t>
            </w:r>
          </w:p>
        </w:tc>
        <w:tc>
          <w:tcPr>
            <w:tcW w:type="dxa" w:w="290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Местообитания</w:t>
            </w:r>
          </w:p>
        </w:tc>
        <w:tc>
          <w:tcPr>
            <w:tcW w:type="dxa" w:w="58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донные, прибрежные и нерестовые зоны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4</w:t>
            </w:r>
          </w:p>
        </w:tc>
        <w:tc>
          <w:tcPr>
            <w:tcW w:type="dxa" w:w="290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Виды и сообщества</w:t>
            </w:r>
          </w:p>
        </w:tc>
        <w:tc>
          <w:tcPr>
            <w:tcW w:type="dxa" w:w="58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биоиндикаторы, eDNA, численность и миграции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5</w:t>
            </w:r>
          </w:p>
        </w:tc>
        <w:tc>
          <w:tcPr>
            <w:tcW w:type="dxa" w:w="29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Источники нагрузки</w:t>
            </w:r>
          </w:p>
        </w:tc>
        <w:tc>
          <w:tcPr>
            <w:tcW w:type="dxa" w:w="58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водозаборы, сбросы, сельское хозяйство, судоходство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6</w:t>
            </w:r>
          </w:p>
        </w:tc>
        <w:tc>
          <w:tcPr>
            <w:tcW w:type="dxa" w:w="290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Инфраструктура</w:t>
            </w:r>
          </w:p>
        </w:tc>
        <w:tc>
          <w:tcPr>
            <w:tcW w:type="dxa" w:w="58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плотины, трубы, кабели, порты и водозаборы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7</w:t>
            </w:r>
          </w:p>
        </w:tc>
        <w:tc>
          <w:tcPr>
            <w:tcW w:type="dxa" w:w="290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Сенсоры и станции</w:t>
            </w:r>
          </w:p>
        </w:tc>
        <w:tc>
          <w:tcPr>
            <w:tcW w:type="dxa" w:w="58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паспорт, калибровка, точность и состояние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8</w:t>
            </w:r>
          </w:p>
        </w:tc>
        <w:tc>
          <w:tcPr>
            <w:tcW w:type="dxa" w:w="29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Роботизированный флот</w:t>
            </w:r>
          </w:p>
        </w:tc>
        <w:tc>
          <w:tcPr>
            <w:tcW w:type="dxa" w:w="58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аппараты, полезная нагрузка, автономность и допуски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9</w:t>
            </w:r>
          </w:p>
        </w:tc>
        <w:tc>
          <w:tcPr>
            <w:tcW w:type="dxa" w:w="290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Миссии</w:t>
            </w:r>
          </w:p>
        </w:tc>
        <w:tc>
          <w:tcPr>
            <w:tcW w:type="dxa" w:w="58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маршрут, задание, команды, журнал и результат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10</w:t>
            </w:r>
          </w:p>
        </w:tc>
        <w:tc>
          <w:tcPr>
            <w:tcW w:type="dxa" w:w="29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Пробы и лаборатории</w:t>
            </w:r>
          </w:p>
        </w:tc>
        <w:tc>
          <w:tcPr>
            <w:tcW w:type="dxa" w:w="58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цепочка хранения, методы и заключения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11</w:t>
            </w:r>
          </w:p>
        </w:tc>
        <w:tc>
          <w:tcPr>
            <w:tcW w:type="dxa" w:w="29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События и инциденты</w:t>
            </w:r>
          </w:p>
        </w:tc>
        <w:tc>
          <w:tcPr>
            <w:tcW w:type="dxa" w:w="58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аномалия, подтверждение, источник и риск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12</w:t>
            </w:r>
          </w:p>
        </w:tc>
        <w:tc>
          <w:tcPr>
            <w:tcW w:type="dxa" w:w="29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Меры и восстановление</w:t>
            </w:r>
          </w:p>
        </w:tc>
        <w:tc>
          <w:tcPr>
            <w:tcW w:type="dxa" w:w="58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решение, исполнитель, ресурсы, состояние до/после</w:t>
            </w:r>
          </w:p>
        </w:tc>
      </w:tr>
      <w:tr>
        <w:trPr>
          <w:cantSplit/>
        </w:trPr>
        <w:tc>
          <w:tcPr>
            <w:tcW w:type="dxa" w:w="6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13</w:t>
            </w:r>
          </w:p>
        </w:tc>
        <w:tc>
          <w:tcPr>
            <w:tcW w:type="dxa" w:w="29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Эффекты и верификация</w:t>
            </w:r>
          </w:p>
        </w:tc>
        <w:tc>
          <w:tcPr>
            <w:tcW w:type="dxa" w:w="58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KPI, доказательства, аудит ESG-IR и версия отчёта</w:t>
            </w:r>
          </w:p>
        </w:tc>
      </w:tr>
    </w:tbl>
    <w:p>
      <w:pPr>
        <w:spacing w:before="0" w:after="40" w:line="264" w:lineRule="auto"/>
        <w:jc w:val="left"/>
      </w:pPr>
    </w:p>
    <w:p>
      <w:pPr>
        <w:pStyle w:val="Heading2"/>
        <w:keepNext/>
      </w:pPr>
      <w:r>
        <w:t>11.3. Качество и совместимость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ЕУТ устанавливает единые паспорта измерений, минимальные метаданные, справочники единиц, координатные системы, правила времени, версионирование, интерфейсы обмена, маркировку неопределённости и процедуры калибровки. Для морских сенсоров и подводной съёмки учитываются ISO 22013:2021 и ISO 23731:2021; для AUV и картографирования - ISO 20682:2026 и ISO 25451:2026 [6-9].</w:t>
      </w:r>
    </w:p>
    <w:p>
      <w:pPr>
        <w:pStyle w:val="Heading1"/>
        <w:keepNext/>
      </w:pPr>
      <w:r>
        <w:t>12. Управленческий цикл и реагирование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Событийная модель исключает ситуацию, когда сигнал остаётся отчётом без владельца. Каждому подтверждённому событию присваиваются класс, координата, уровень риска, срок, ответственный и набор доказательств.</w:t>
      </w:r>
    </w:p>
    <w:p>
      <w:pPr>
        <w:pStyle w:val="ListBody"/>
        <w:spacing w:after="160" w:line="280" w:lineRule="auto"/>
        <w:widowControl/>
        <w:numPr>
          <w:ilvl w:val="0"/>
          <w:numId w:val="17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Наблюдение. </w:t>
      </w:r>
      <w:r>
        <w:rPr>
          <w:rFonts w:ascii="Calibri" w:hAnsi="Calibri" w:eastAsia="Calibri" w:cs="Calibri"/>
          <w:color w:val="17242D"/>
          <w:sz w:val="22"/>
        </w:rPr>
        <w:t>Стационарная сеть, спутник или робот фиксирует отклонение от базовой линии.</w:t>
      </w:r>
    </w:p>
    <w:p>
      <w:pPr>
        <w:pStyle w:val="ListBody"/>
        <w:spacing w:after="160" w:line="280" w:lineRule="auto"/>
        <w:widowControl/>
        <w:numPr>
          <w:ilvl w:val="0"/>
          <w:numId w:val="17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Автоматическая проверка. </w:t>
      </w:r>
      <w:r>
        <w:rPr>
          <w:rFonts w:ascii="Calibri" w:hAnsi="Calibri" w:eastAsia="Calibri" w:cs="Calibri"/>
          <w:color w:val="17242D"/>
          <w:sz w:val="22"/>
        </w:rPr>
        <w:t>Система оценивает качество данных, контекст сезона, состояние датчика и возможные ложные причины.</w:t>
      </w:r>
    </w:p>
    <w:p>
      <w:pPr>
        <w:pStyle w:val="ListBody"/>
        <w:spacing w:after="160" w:line="280" w:lineRule="auto"/>
        <w:widowControl/>
        <w:numPr>
          <w:ilvl w:val="0"/>
          <w:numId w:val="17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Подтверждающая миссия. </w:t>
      </w:r>
      <w:r>
        <w:rPr>
          <w:rFonts w:ascii="Calibri" w:hAnsi="Calibri" w:eastAsia="Calibri" w:cs="Calibri"/>
          <w:color w:val="17242D"/>
          <w:sz w:val="22"/>
        </w:rPr>
        <w:t>Назначается другой датчик, робот, маршрут или контрольная проба.</w:t>
      </w:r>
    </w:p>
    <w:p>
      <w:pPr>
        <w:pStyle w:val="ListBody"/>
        <w:spacing w:after="160" w:line="280" w:lineRule="auto"/>
        <w:widowControl/>
        <w:numPr>
          <w:ilvl w:val="0"/>
          <w:numId w:val="17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Локализация. </w:t>
      </w:r>
      <w:r>
        <w:rPr>
          <w:rFonts w:ascii="Calibri" w:hAnsi="Calibri" w:eastAsia="Calibri" w:cs="Calibri"/>
          <w:color w:val="17242D"/>
          <w:sz w:val="22"/>
        </w:rPr>
        <w:t>Цифровой двойник объединяет течения, источники нагрузки и временную последовательность.</w:t>
      </w:r>
    </w:p>
    <w:p>
      <w:pPr>
        <w:pStyle w:val="ListBody"/>
        <w:spacing w:after="160" w:line="280" w:lineRule="auto"/>
        <w:widowControl/>
        <w:numPr>
          <w:ilvl w:val="0"/>
          <w:numId w:val="17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Классификация риска. </w:t>
      </w:r>
      <w:r>
        <w:rPr>
          <w:rFonts w:ascii="Calibri" w:hAnsi="Calibri" w:eastAsia="Calibri" w:cs="Calibri"/>
          <w:color w:val="17242D"/>
          <w:sz w:val="22"/>
        </w:rPr>
        <w:t>Определяются масштаб, экспозиция, обратимость и срочность.</w:t>
      </w:r>
    </w:p>
    <w:p>
      <w:pPr>
        <w:pStyle w:val="ListBody"/>
        <w:spacing w:after="160" w:line="280" w:lineRule="auto"/>
        <w:widowControl/>
        <w:numPr>
          <w:ilvl w:val="0"/>
          <w:numId w:val="17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Решение. </w:t>
      </w:r>
      <w:r>
        <w:rPr>
          <w:rFonts w:ascii="Calibri" w:hAnsi="Calibri" w:eastAsia="Calibri" w:cs="Calibri"/>
          <w:color w:val="17242D"/>
          <w:sz w:val="22"/>
        </w:rPr>
        <w:t>Уполномоченный руководитель выбирает допустимый сценарий и назначает ресурсы.</w:t>
      </w:r>
    </w:p>
    <w:p>
      <w:pPr>
        <w:pStyle w:val="ListBody"/>
        <w:spacing w:after="160" w:line="280" w:lineRule="auto"/>
        <w:widowControl/>
        <w:numPr>
          <w:ilvl w:val="0"/>
          <w:numId w:val="17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Действие. </w:t>
      </w:r>
      <w:r>
        <w:rPr>
          <w:rFonts w:ascii="Calibri" w:hAnsi="Calibri" w:eastAsia="Calibri" w:cs="Calibri"/>
          <w:color w:val="17242D"/>
          <w:sz w:val="22"/>
        </w:rPr>
        <w:t>СПЕЦЗАЩИТА или профильный оператор выполняет техническое, организационное или восстановительное мероприятие.</w:t>
      </w:r>
    </w:p>
    <w:p>
      <w:pPr>
        <w:pStyle w:val="ListBody"/>
        <w:spacing w:after="160" w:line="280" w:lineRule="auto"/>
        <w:widowControl/>
        <w:numPr>
          <w:ilvl w:val="0"/>
          <w:numId w:val="17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Контрольная миссия. </w:t>
      </w:r>
      <w:r>
        <w:rPr>
          <w:rFonts w:ascii="Calibri" w:hAnsi="Calibri" w:eastAsia="Calibri" w:cs="Calibri"/>
          <w:color w:val="17242D"/>
          <w:sz w:val="22"/>
        </w:rPr>
        <w:t>Независимый маршрут и проба сравнивают состояние до и после.</w:t>
      </w:r>
    </w:p>
    <w:p>
      <w:pPr>
        <w:pStyle w:val="ListBody"/>
        <w:spacing w:after="160" w:line="280" w:lineRule="auto"/>
        <w:widowControl/>
        <w:numPr>
          <w:ilvl w:val="0"/>
          <w:numId w:val="17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Верификация. </w:t>
      </w:r>
      <w:r>
        <w:rPr>
          <w:rFonts w:ascii="Calibri" w:hAnsi="Calibri" w:eastAsia="Calibri" w:cs="Calibri"/>
          <w:color w:val="17242D"/>
          <w:sz w:val="22"/>
        </w:rPr>
        <w:t>ESG-IR подтверждает достижение KPI и закрывает событие либо возвращает его на доработку.</w:t>
      </w:r>
    </w:p>
    <w:p>
      <w:pPr>
        <w:pStyle w:val="Heading2"/>
        <w:keepNext/>
      </w:pPr>
      <w:r>
        <w:t>12.1. Классы событий ГАСМП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3900"/>
        <w:gridCol w:w="3360"/>
      </w:tblGrid>
      <w:tr>
        <w:trPr>
          <w:tblHeader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8"/>
              </w:rPr>
              <w:t>Класс</w:t>
            </w:r>
          </w:p>
        </w:tc>
        <w:tc>
          <w:tcPr>
            <w:tcW w:type="dxa" w:w="3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8"/>
              </w:rPr>
              <w:t>Пример</w:t>
            </w:r>
          </w:p>
        </w:tc>
        <w:tc>
          <w:tcPr>
            <w:tcW w:type="dxa" w:w="33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8"/>
              </w:rPr>
              <w:t>Первое действие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Гидрологическое</w:t>
            </w:r>
          </w:p>
        </w:tc>
        <w:tc>
          <w:tcPr>
            <w:tcW w:type="dxa" w:w="39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паводок, обмеление, изменение течения</w:t>
            </w:r>
          </w:p>
        </w:tc>
        <w:tc>
          <w:tcPr>
            <w:tcW w:type="dxa" w:w="33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проверка модели и зон экспозиции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Гидрохимическое</w:t>
            </w:r>
          </w:p>
        </w:tc>
        <w:tc>
          <w:tcPr>
            <w:tcW w:type="dxa" w:w="39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гипоксия, нефтяное пятно, токсикант</w:t>
            </w:r>
          </w:p>
        </w:tc>
        <w:tc>
          <w:tcPr>
            <w:tcW w:type="dxa" w:w="33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дополнительный профиль и проба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Биологическое</w:t>
            </w:r>
          </w:p>
        </w:tc>
        <w:tc>
          <w:tcPr>
            <w:tcW w:type="dxa" w:w="39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цветение, гибель рыбы, инвазивный вид</w:t>
            </w:r>
          </w:p>
        </w:tc>
        <w:tc>
          <w:tcPr>
            <w:tcW w:type="dxa" w:w="33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биомиссия и лабораторное подтверждение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Техногенное</w:t>
            </w:r>
          </w:p>
        </w:tc>
        <w:tc>
          <w:tcPr>
            <w:tcW w:type="dxa" w:w="39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утечка, дефект трубы, риск плотины</w:t>
            </w:r>
          </w:p>
        </w:tc>
        <w:tc>
          <w:tcPr>
            <w:tcW w:type="dxa" w:w="33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ROV-инспекция и уведомление владельца</w:t>
            </w:r>
          </w:p>
        </w:tc>
      </w:tr>
    </w:tbl>
    <w:p>
      <w:pPr>
        <w:spacing w:before="0" w:after="40" w:line="264" w:lineRule="auto"/>
        <w:jc w:val="left"/>
      </w:pPr>
    </w:p>
    <w:p>
      <w:pPr>
        <w:keepLines/>
        <w:spacing w:before="120" w:after="160" w:line="269" w:lineRule="auto"/>
        <w:ind w:left="173" w:right="115"/>
        <w:shd w:fill="EAF4F6"/>
        <w:widowControl/>
        <w:pBdr>
          <w:left w:val="single" w:sz="18" w:space="8" w:color="0B6E99"/>
        </w:pBdr>
      </w:pPr>
      <w:r>
        <w:rPr>
          <w:rFonts w:ascii="Calibri" w:hAnsi="Calibri" w:eastAsia="Calibri" w:cs="Calibri"/>
          <w:b/>
          <w:color w:val="0B6E99"/>
          <w:sz w:val="22"/>
        </w:rPr>
        <w:t xml:space="preserve">Принцип независимости. </w:t>
      </w:r>
      <w:r>
        <w:rPr>
          <w:rFonts w:ascii="Calibri" w:hAnsi="Calibri" w:eastAsia="Calibri" w:cs="Calibri"/>
          <w:color w:val="17242D"/>
          <w:sz w:val="22"/>
        </w:rPr>
        <w:t>Контрольную миссию по возможности выполняет другой аппарат или иной измерительный канал. Верификатор ESG-IR организационно не подчиняется оператору, получающему оплату за результат.</w:t>
      </w:r>
    </w:p>
    <w:p>
      <w:pPr>
        <w:pStyle w:val="Heading1"/>
        <w:keepNext/>
      </w:pPr>
      <w:r>
        <w:t>13. Институциональная архитектура экосистемы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Водный контур не создаёт новое ведомство вместо существующих полномочий. Он формирует надсистемный механизм согласования данных, прогнозов, ресурсов, действий и доказательств, сохраняя юридическую ответственность уполномоченных органов и владельцев инфраструктуры.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4050"/>
        <w:gridCol w:w="3210"/>
      </w:tblGrid>
      <w:tr>
        <w:trPr>
          <w:tblHeader w:val="true"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Контур</w:t>
            </w:r>
          </w:p>
        </w:tc>
        <w:tc>
          <w:tcPr>
            <w:tcW w:type="dxa" w:w="4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Функция</w:t>
            </w:r>
          </w:p>
        </w:tc>
        <w:tc>
          <w:tcPr>
            <w:tcW w:type="dxa" w:w="32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7"/>
              </w:rPr>
              <w:t>Продукт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ОРИОН 22:22</w:t>
            </w:r>
          </w:p>
        </w:tc>
        <w:tc>
          <w:tcPr>
            <w:tcW w:type="dxa" w:w="40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надсистемная навигация и смысловая целостность</w:t>
            </w:r>
          </w:p>
        </w:tc>
        <w:tc>
          <w:tcPr>
            <w:tcW w:type="dxa" w:w="32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единая карта целей и функций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ЭКВИЛИБРИУМ</w:t>
            </w:r>
          </w:p>
        </w:tc>
        <w:tc>
          <w:tcPr>
            <w:tcW w:type="dxa" w:w="40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интеграция, цифровой двойник, моделирование и прогноз</w:t>
            </w:r>
          </w:p>
        </w:tc>
        <w:tc>
          <w:tcPr>
            <w:tcW w:type="dxa" w:w="32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карта состояния, сценарий и контроль результата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ГАСМП</w:t>
            </w:r>
          </w:p>
        </w:tc>
        <w:tc>
          <w:tcPr>
            <w:tcW w:type="dxa" w:w="40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спутниковое, аэрокосмическое и межтерриториальное наблюдение</w:t>
            </w:r>
          </w:p>
        </w:tc>
        <w:tc>
          <w:tcPr>
            <w:tcW w:type="dxa" w:w="32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раннее предупреждение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СПЕЦЗАЩИТА</w:t>
            </w:r>
          </w:p>
        </w:tc>
        <w:tc>
          <w:tcPr>
            <w:tcW w:type="dxa" w:w="40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оператор пилота и кооперации, роботизированный флот</w:t>
            </w:r>
          </w:p>
        </w:tc>
        <w:tc>
          <w:tcPr>
            <w:tcW w:type="dxa" w:w="32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миссии, исполнение и эксплуатация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ECO-PPA</w:t>
            </w:r>
          </w:p>
        </w:tc>
        <w:tc>
          <w:tcPr>
            <w:tcW w:type="dxa" w:w="40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мобилизация ресурсов и контракт результата</w:t>
            </w:r>
          </w:p>
        </w:tc>
        <w:tc>
          <w:tcPr>
            <w:tcW w:type="dxa" w:w="32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финансовая модель и платежи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ESG-IR</w:t>
            </w:r>
          </w:p>
        </w:tc>
        <w:tc>
          <w:tcPr>
            <w:tcW w:type="dxa" w:w="40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показатели, доказательства и независимая проверка</w:t>
            </w:r>
          </w:p>
        </w:tc>
        <w:tc>
          <w:tcPr>
            <w:tcW w:type="dxa" w:w="32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верифицированный отчёт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ЕУТ</w:t>
            </w:r>
          </w:p>
        </w:tc>
        <w:tc>
          <w:tcPr>
            <w:tcW w:type="dxa" w:w="40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унифицированные протоколы, данные и совместимость</w:t>
            </w:r>
          </w:p>
        </w:tc>
        <w:tc>
          <w:tcPr>
            <w:tcW w:type="dxa" w:w="32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стандарты и паспорта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СФЕРА</w:t>
            </w:r>
          </w:p>
        </w:tc>
        <w:tc>
          <w:tcPr>
            <w:tcW w:type="dxa" w:w="40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коммуникация, участие и масштабирование</w:t>
            </w:r>
          </w:p>
        </w:tc>
        <w:tc>
          <w:tcPr>
            <w:tcW w:type="dxa" w:w="32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портал, партнёрства и публичный слой</w:t>
            </w:r>
          </w:p>
        </w:tc>
      </w:tr>
      <w:tr>
        <w:trPr>
          <w:cantSplit/>
        </w:trPr>
        <w:tc>
          <w:tcPr>
            <w:tcW w:type="dxa" w:w="2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7"/>
              </w:rPr>
              <w:t>Архив наследия</w:t>
            </w:r>
          </w:p>
        </w:tc>
        <w:tc>
          <w:tcPr>
            <w:tcW w:type="dxa" w:w="40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история, происхождение и сохранение базовых линий</w:t>
            </w:r>
          </w:p>
        </w:tc>
        <w:tc>
          <w:tcPr>
            <w:tcW w:type="dxa" w:w="321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7"/>
              </w:rPr>
              <w:t>долговременный доказательный контур</w:t>
            </w:r>
          </w:p>
        </w:tc>
      </w:tr>
    </w:tbl>
    <w:p>
      <w:pPr>
        <w:spacing w:before="0" w:after="40" w:line="264" w:lineRule="auto"/>
        <w:jc w:val="left"/>
      </w:pPr>
    </w:p>
    <w:p>
      <w:pPr>
        <w:pStyle w:val="Heading2"/>
        <w:keepNext/>
      </w:pPr>
      <w:r>
        <w:t>13.1. Органы управления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Межведомственный совет - </w:t>
      </w:r>
      <w:r>
        <w:rPr>
          <w:rFonts w:ascii="Calibri" w:hAnsi="Calibri" w:eastAsia="Calibri" w:cs="Calibri"/>
          <w:color w:val="17242D"/>
          <w:sz w:val="22"/>
        </w:rPr>
        <w:t>приоритеты, доступ к данным, регуляторное сопровождение и решение по масштабированию.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Проектный офис СПЕЦЗАЩИТЫ - </w:t>
      </w:r>
      <w:r>
        <w:rPr>
          <w:rFonts w:ascii="Calibri" w:hAnsi="Calibri" w:eastAsia="Calibri" w:cs="Calibri"/>
          <w:color w:val="17242D"/>
          <w:sz w:val="22"/>
        </w:rPr>
        <w:t>план-график, закупки, кооперация, миссии, безопасность и эксплуатация.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Научно-методический совет - </w:t>
      </w:r>
      <w:r>
        <w:rPr>
          <w:rFonts w:ascii="Calibri" w:hAnsi="Calibri" w:eastAsia="Calibri" w:cs="Calibri"/>
          <w:color w:val="17242D"/>
          <w:sz w:val="22"/>
        </w:rPr>
        <w:t>базовая линия, биоиндикаторы, модели, пороги и интерпретация.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Технологический консорциум - </w:t>
      </w:r>
      <w:r>
        <w:rPr>
          <w:rFonts w:ascii="Calibri" w:hAnsi="Calibri" w:eastAsia="Calibri" w:cs="Calibri"/>
          <w:color w:val="17242D"/>
          <w:sz w:val="22"/>
        </w:rPr>
        <w:t>робототехника, сенсоры, связь, энергетика, сервис и локализация производства.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Независимый верификатор - </w:t>
      </w:r>
      <w:r>
        <w:rPr>
          <w:rFonts w:ascii="Calibri" w:hAnsi="Calibri" w:eastAsia="Calibri" w:cs="Calibri"/>
          <w:color w:val="17242D"/>
          <w:sz w:val="22"/>
        </w:rPr>
        <w:t>проверка данных, KPI, расчёта эффекта и соблюдения процедур.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Уполномоченные органы - </w:t>
      </w:r>
      <w:r>
        <w:rPr>
          <w:rFonts w:ascii="Calibri" w:hAnsi="Calibri" w:eastAsia="Calibri" w:cs="Calibri"/>
          <w:color w:val="17242D"/>
          <w:sz w:val="22"/>
        </w:rPr>
        <w:t>правовые решения, надзор, предупреждение населения и меры принуждения.</w:t>
      </w:r>
    </w:p>
    <w:p>
      <w:pPr>
        <w:pStyle w:val="Heading1"/>
        <w:keepNext/>
      </w:pPr>
      <w:r>
        <w:t>14. Пилот «ГИДРОСФЕРА-1»</w:t>
      </w:r>
    </w:p>
    <w:p>
      <w:pPr>
        <w:keepLines/>
        <w:spacing w:before="120" w:after="160" w:line="269" w:lineRule="auto"/>
        <w:ind w:left="173" w:right="115"/>
        <w:shd w:fill="EAF4F6"/>
        <w:widowControl/>
        <w:pBdr>
          <w:left w:val="single" w:sz="18" w:space="8" w:color="0B6E99"/>
        </w:pBdr>
      </w:pPr>
      <w:r>
        <w:rPr>
          <w:rFonts w:ascii="Calibri" w:hAnsi="Calibri" w:eastAsia="Calibri" w:cs="Calibri"/>
          <w:b/>
          <w:color w:val="0B6E99"/>
          <w:sz w:val="22"/>
        </w:rPr>
        <w:t xml:space="preserve">Предлагаемый полигон. </w:t>
      </w:r>
      <w:r>
        <w:rPr>
          <w:rFonts w:ascii="Calibri" w:hAnsi="Calibri" w:eastAsia="Calibri" w:cs="Calibri"/>
          <w:color w:val="17242D"/>
          <w:sz w:val="22"/>
        </w:rPr>
        <w:t>Сызранский узел Волги и прилегающая акватория Саратовского водохранилища. Предварительный масштаб - 50-100 км водной системы. Окончательные границы определяются после обследования и согласований.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Полигон связывается с уже формируемым контуром СПЕЦЗАЩИТЫ и должен включать основное русло, малые притоки, прибрежную зону, промышленные и коммунальные точки нагрузки, природный эталонный участок, гидротехнические сооружения и доступные подводные инфраструктурные объекты.</w:t>
      </w:r>
    </w:p>
    <w:p>
      <w:pPr>
        <w:pStyle w:val="Heading2"/>
        <w:keepNext/>
      </w:pPr>
      <w:r>
        <w:t>14.1. Базовая роботизированная ячейка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сеть донных и прибрежных сенсорных узлов;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буй-шлюз с энергетическим модулем;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док-станция;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аппарат длительного патрулирования;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маневренный AUV;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наблюдательный ROV;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рабочий ROV по потребности;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мобильный пробоотборный комплекс;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береговой ситуационный пост и цифровой двойник.</w:t>
      </w:r>
    </w:p>
    <w:p>
      <w:pPr>
        <w:pStyle w:val="Heading2"/>
        <w:keepNext/>
      </w:pPr>
      <w:r>
        <w:t>14.2. Этапы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750"/>
        <w:gridCol w:w="1250"/>
        <w:gridCol w:w="3970"/>
        <w:gridCol w:w="2390"/>
      </w:tblGrid>
      <w:tr>
        <w:trPr>
          <w:tblHeader w:val="true"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6"/>
              </w:rPr>
              <w:t>Этап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6"/>
              </w:rPr>
              <w:t>Срок</w:t>
            </w:r>
          </w:p>
        </w:tc>
        <w:tc>
          <w:tcPr>
            <w:tcW w:type="dxa" w:w="397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6"/>
              </w:rPr>
              <w:t>Основной результат</w:t>
            </w:r>
          </w:p>
        </w:tc>
        <w:tc>
          <w:tcPr>
            <w:tcW w:type="dxa" w:w="239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6"/>
              </w:rPr>
              <w:t>Контрольная точка</w:t>
            </w:r>
          </w:p>
        </w:tc>
      </w:tr>
      <w:tr>
        <w:trPr>
          <w:cantSplit/>
        </w:trPr>
        <w:tc>
          <w:tcPr>
            <w:tcW w:type="dxa" w:w="17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6"/>
              </w:rPr>
              <w:t>1. Паспортирование</w:t>
            </w:r>
          </w:p>
        </w:tc>
        <w:tc>
          <w:tcPr>
            <w:tcW w:type="dxa" w:w="125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0-3 мес.</w:t>
            </w:r>
          </w:p>
        </w:tc>
        <w:tc>
          <w:tcPr>
            <w:tcW w:type="dxa" w:w="397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границы, базовая линия, карта нагрузки и программа измерений</w:t>
            </w:r>
          </w:p>
        </w:tc>
        <w:tc>
          <w:tcPr>
            <w:tcW w:type="dxa" w:w="239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принят паспорт полигона</w:t>
            </w:r>
          </w:p>
        </w:tc>
      </w:tr>
      <w:tr>
        <w:trPr>
          <w:cantSplit/>
        </w:trPr>
        <w:tc>
          <w:tcPr>
            <w:tcW w:type="dxa" w:w="17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6"/>
              </w:rPr>
              <w:t>2. Развёртывание</w:t>
            </w:r>
          </w:p>
        </w:tc>
        <w:tc>
          <w:tcPr>
            <w:tcW w:type="dxa" w:w="125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4-6 мес.</w:t>
            </w:r>
          </w:p>
        </w:tc>
        <w:tc>
          <w:tcPr>
            <w:tcW w:type="dxa" w:w="397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пост, роботы, буи, связь и интеграция</w:t>
            </w:r>
          </w:p>
        </w:tc>
        <w:tc>
          <w:tcPr>
            <w:tcW w:type="dxa" w:w="239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комплекс готов к работе</w:t>
            </w:r>
          </w:p>
        </w:tc>
      </w:tr>
      <w:tr>
        <w:trPr>
          <w:cantSplit/>
        </w:trPr>
        <w:tc>
          <w:tcPr>
            <w:tcW w:type="dxa" w:w="17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6"/>
              </w:rPr>
              <w:t>3. Наблюдение</w:t>
            </w:r>
          </w:p>
        </w:tc>
        <w:tc>
          <w:tcPr>
            <w:tcW w:type="dxa" w:w="125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7-12 мес.</w:t>
            </w:r>
          </w:p>
        </w:tc>
        <w:tc>
          <w:tcPr>
            <w:tcW w:type="dxa" w:w="397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карта дна и местообитаний, лабораторная сверка, обучение моделей</w:t>
            </w:r>
          </w:p>
        </w:tc>
        <w:tc>
          <w:tcPr>
            <w:tcW w:type="dxa" w:w="239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подтверждено качество данных</w:t>
            </w:r>
          </w:p>
        </w:tc>
      </w:tr>
      <w:tr>
        <w:trPr>
          <w:cantSplit/>
        </w:trPr>
        <w:tc>
          <w:tcPr>
            <w:tcW w:type="dxa" w:w="17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6"/>
              </w:rPr>
              <w:t>4. Прогноз и реагирование</w:t>
            </w:r>
          </w:p>
        </w:tc>
        <w:tc>
          <w:tcPr>
            <w:tcW w:type="dxa" w:w="125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13-18 мес.</w:t>
            </w:r>
          </w:p>
        </w:tc>
        <w:tc>
          <w:tcPr>
            <w:tcW w:type="dxa" w:w="397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раннее предупреждение, поиск источников, контрольные мероприятия</w:t>
            </w:r>
          </w:p>
        </w:tc>
        <w:tc>
          <w:tcPr>
            <w:tcW w:type="dxa" w:w="239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отработаны сценарии</w:t>
            </w:r>
          </w:p>
        </w:tc>
      </w:tr>
      <w:tr>
        <w:trPr>
          <w:cantSplit/>
        </w:trPr>
        <w:tc>
          <w:tcPr>
            <w:tcW w:type="dxa" w:w="175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6"/>
              </w:rPr>
              <w:t>5. Верификация</w:t>
            </w:r>
          </w:p>
        </w:tc>
        <w:tc>
          <w:tcPr>
            <w:tcW w:type="dxa" w:w="125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19-24 мес.</w:t>
            </w:r>
          </w:p>
        </w:tc>
        <w:tc>
          <w:tcPr>
            <w:tcW w:type="dxa" w:w="397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аудит ESG-IR, экономика, пакет ЕУТ и типовое решение</w:t>
            </w:r>
          </w:p>
        </w:tc>
        <w:tc>
          <w:tcPr>
            <w:tcW w:type="dxa" w:w="239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решение о масштабировании</w:t>
            </w:r>
          </w:p>
        </w:tc>
      </w:tr>
    </w:tbl>
    <w:p>
      <w:pPr>
        <w:spacing w:before="0" w:after="40" w:line="264" w:lineRule="auto"/>
        <w:jc w:val="left"/>
      </w:pPr>
    </w:p>
    <w:p>
      <w:pPr>
        <w:pStyle w:val="Heading2"/>
        <w:keepNext/>
      </w:pPr>
      <w:r>
        <w:t>14.3. Продукты пилота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цифровой паспорт и двойник акватории;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карта дна, местообитаний, источников риска и подводной инфраструктуры;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роботизированный флот, док-станция и ситуационный пост;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система раннего предупреждения и журнал подтверждённых событий;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проверенная методика индекса здоровья водной экосистемы;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верифицированная ESG-IR-отчётность;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пакет стандартов ЕУТ и экономика эксплуатации;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типовой комплект тиражирования для речных, озёрных, морских и арктических территорий.</w:t>
      </w:r>
    </w:p>
    <w:p>
      <w:pPr>
        <w:pStyle w:val="Heading1"/>
        <w:keepNext/>
      </w:pPr>
      <w:r>
        <w:t>15. Финансово-контрактная модель ECO-PPA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ECO-PPA связывает долгосрочную готовность инфраструктуры с оплатой подтверждённого результата. Модель не переносит на оператора неконтролируемые природные риски, но делает его ответственным за работоспособность системы, выполнение программы наблюдений, качество данных и скорость реагирования.</w:t>
      </w:r>
    </w:p>
    <w:p>
      <w:pPr>
        <w:pStyle w:val="Heading2"/>
        <w:keepNext/>
      </w:pPr>
      <w:r>
        <w:t>15.1. Предварительная структура финансирования пилота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300"/>
        <w:gridCol w:w="1200"/>
        <w:gridCol w:w="4860"/>
      </w:tblGrid>
      <w:tr>
        <w:trPr>
          <w:tblHeader w:val="true"/>
        </w:trPr>
        <w:tc>
          <w:tcPr>
            <w:tcW w:type="dxa" w:w="3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8"/>
              </w:rPr>
              <w:t>Источник</w:t>
            </w:r>
          </w:p>
        </w:tc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8"/>
              </w:rPr>
              <w:t>Доля</w:t>
            </w:r>
          </w:p>
        </w:tc>
        <w:tc>
          <w:tcPr>
            <w:tcW w:type="dxa" w:w="4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8"/>
              </w:rPr>
              <w:t>Назначение</w:t>
            </w:r>
          </w:p>
        </w:tc>
      </w:tr>
      <w:tr>
        <w:trPr>
          <w:cantSplit/>
        </w:trPr>
        <w:tc>
          <w:tcPr>
            <w:tcW w:type="dxa" w:w="33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Государственный / региональный заказ</w:t>
            </w:r>
          </w:p>
        </w:tc>
        <w:tc>
          <w:tcPr>
            <w:tcW w:type="dxa" w:w="120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25%</w:t>
            </w:r>
          </w:p>
        </w:tc>
        <w:tc>
          <w:tcPr>
            <w:tcW w:type="dxa" w:w="48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базовая инфраструктура и открытый экологический слой</w:t>
            </w:r>
          </w:p>
        </w:tc>
      </w:tr>
      <w:tr>
        <w:trPr>
          <w:cantSplit/>
        </w:trPr>
        <w:tc>
          <w:tcPr>
            <w:tcW w:type="dxa" w:w="33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Якорные потребители</w:t>
            </w:r>
          </w:p>
        </w:tc>
        <w:tc>
          <w:tcPr>
            <w:tcW w:type="dxa" w:w="120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25%</w:t>
            </w:r>
          </w:p>
        </w:tc>
        <w:tc>
          <w:tcPr>
            <w:tcW w:type="dxa" w:w="48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водоканалы, промышленность, энергетика, порты, ГТС</w:t>
            </w:r>
          </w:p>
        </w:tc>
      </w:tr>
      <w:tr>
        <w:trPr>
          <w:cantSplit/>
        </w:trPr>
        <w:tc>
          <w:tcPr>
            <w:tcW w:type="dxa" w:w="33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Лизинг и производители</w:t>
            </w:r>
          </w:p>
        </w:tc>
        <w:tc>
          <w:tcPr>
            <w:tcW w:type="dxa" w:w="120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25%</w:t>
            </w:r>
          </w:p>
        </w:tc>
        <w:tc>
          <w:tcPr>
            <w:tcW w:type="dxa" w:w="48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робототехника, станции, сервис и локализация</w:t>
            </w:r>
          </w:p>
        </w:tc>
      </w:tr>
      <w:tr>
        <w:trPr>
          <w:cantSplit/>
        </w:trPr>
        <w:tc>
          <w:tcPr>
            <w:tcW w:type="dxa" w:w="33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Резерв ECO-PPA</w:t>
            </w:r>
          </w:p>
        </w:tc>
        <w:tc>
          <w:tcPr>
            <w:tcW w:type="dxa" w:w="120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15%</w:t>
            </w:r>
          </w:p>
        </w:tc>
        <w:tc>
          <w:tcPr>
            <w:tcW w:type="dxa" w:w="48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оплата независимо подтверждённых результатов</w:t>
            </w:r>
          </w:p>
        </w:tc>
      </w:tr>
      <w:tr>
        <w:trPr>
          <w:cantSplit/>
        </w:trPr>
        <w:tc>
          <w:tcPr>
            <w:tcW w:type="dxa" w:w="33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Научные и природоохранные программы</w:t>
            </w:r>
          </w:p>
        </w:tc>
        <w:tc>
          <w:tcPr>
            <w:tcW w:type="dxa" w:w="120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10%</w:t>
            </w:r>
          </w:p>
        </w:tc>
        <w:tc>
          <w:tcPr>
            <w:tcW w:type="dxa" w:w="48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методики, исследования и инновации</w:t>
            </w:r>
          </w:p>
        </w:tc>
      </w:tr>
    </w:tbl>
    <w:p>
      <w:pPr>
        <w:spacing w:before="0" w:after="40" w:line="264" w:lineRule="auto"/>
        <w:jc w:val="left"/>
      </w:pP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Проценты являются проектной моделью и уточняются после технического обследования, расчёта капитальных и эксплуатационных затрат и определения участников.</w:t>
      </w:r>
    </w:p>
    <w:p>
      <w:pPr>
        <w:pStyle w:val="Heading2"/>
        <w:keepNext/>
      </w:pPr>
      <w:r>
        <w:t>15.2. Структура платежа оператору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60% - готовность и объём услуг: </w:t>
      </w:r>
      <w:r>
        <w:rPr>
          <w:rFonts w:ascii="Calibri" w:hAnsi="Calibri" w:eastAsia="Calibri" w:cs="Calibri"/>
          <w:color w:val="17242D"/>
          <w:sz w:val="22"/>
        </w:rPr>
        <w:t>инфраструктура, доступность, миссии и программа наблюдений.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25% - качество и SLA: </w:t>
      </w:r>
      <w:r>
        <w:rPr>
          <w:rFonts w:ascii="Calibri" w:hAnsi="Calibri" w:eastAsia="Calibri" w:cs="Calibri"/>
          <w:color w:val="17242D"/>
          <w:sz w:val="22"/>
        </w:rPr>
        <w:t>полнота данных, калибровка, время подтверждения и реагирования.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b/>
          <w:color w:val="17242D"/>
          <w:sz w:val="22"/>
        </w:rPr>
        <w:t xml:space="preserve">15% - подтверждённый эффект: </w:t>
      </w:r>
      <w:r>
        <w:rPr>
          <w:rFonts w:ascii="Calibri" w:hAnsi="Calibri" w:eastAsia="Calibri" w:cs="Calibri"/>
          <w:color w:val="17242D"/>
          <w:sz w:val="22"/>
        </w:rPr>
        <w:t>предотвращённый ущерб, сокращение аномальных состояний или восстановление выбранного показателя.</w:t>
      </w:r>
    </w:p>
    <w:p>
      <w:pPr>
        <w:pStyle w:val="Heading2"/>
        <w:keepNext/>
      </w:pPr>
      <w:r>
        <w:t>15.3. Эксплуатационная экономика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После пилота доходная модель формируется из подписки на мониторинг, роботизированных инспекций, аварийного обследования, сервисных контрактов, подготовки доказательной ESG-IR-отчётности, обслуживания подводной инфраструктуры и предоставления верифицированных данных для науки и управления в допустимом правовом режиме.</w:t>
      </w:r>
    </w:p>
    <w:p>
      <w:pPr>
        <w:pStyle w:val="Heading1"/>
        <w:keepNext/>
      </w:pPr>
      <w:r>
        <w:t>16. Показатели результата и ESG-IR-верификация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Показатели разделяются на доступность системы, качество данных, операционную эффективность, безопасность, экологическое состояние и экономический эффект. Экологические цели устанавливаются после базовой линии, чтобы не подменять результат заранее выбранным числом.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5100"/>
        <w:gridCol w:w="2560"/>
      </w:tblGrid>
      <w:tr>
        <w:trPr>
          <w:tblHeader w:val="true"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6"/>
              </w:rPr>
              <w:t>Блок</w:t>
            </w:r>
          </w:p>
        </w:tc>
        <w:tc>
          <w:tcPr>
            <w:tcW w:type="dxa" w:w="5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6"/>
              </w:rPr>
              <w:t>Предлагаемый KPI</w:t>
            </w:r>
          </w:p>
        </w:tc>
        <w:tc>
          <w:tcPr>
            <w:tcW w:type="dxa" w:w="2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6"/>
              </w:rPr>
              <w:t>Проверка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6"/>
              </w:rPr>
              <w:t>Доступность</w:t>
            </w:r>
          </w:p>
        </w:tc>
        <w:tc>
          <w:tcPr>
            <w:tcW w:type="dxa" w:w="5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не менее 95% доступности мониторинга</w:t>
            </w:r>
          </w:p>
        </w:tc>
        <w:tc>
          <w:tcPr>
            <w:tcW w:type="dxa" w:w="25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журнал узлов и каналов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6"/>
              </w:rPr>
              <w:t>Покрытие</w:t>
            </w:r>
          </w:p>
        </w:tc>
        <w:tc>
          <w:tcPr>
            <w:tcW w:type="dxa" w:w="5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100% утверждённой пилотной акватории картировано</w:t>
            </w:r>
          </w:p>
        </w:tc>
        <w:tc>
          <w:tcPr>
            <w:tcW w:type="dxa" w:w="25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миссии + геоданные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6"/>
              </w:rPr>
              <w:t>Безопасность</w:t>
            </w:r>
          </w:p>
        </w:tc>
        <w:tc>
          <w:tcPr>
            <w:tcW w:type="dxa" w:w="5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не менее 90% миссий без нарушений; отсутствие вторичного вреда</w:t>
            </w:r>
          </w:p>
        </w:tc>
        <w:tc>
          <w:tcPr>
            <w:tcW w:type="dxa" w:w="25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журнал миссий и инцидентов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6"/>
              </w:rPr>
              <w:t>Качество</w:t>
            </w:r>
          </w:p>
        </w:tc>
        <w:tc>
          <w:tcPr>
            <w:tcW w:type="dxa" w:w="5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ключевые измерения подтверждены полевыми и лабораторными методами</w:t>
            </w:r>
          </w:p>
        </w:tc>
        <w:tc>
          <w:tcPr>
            <w:tcW w:type="dxa" w:w="25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калибровка и цепочка проб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6"/>
              </w:rPr>
              <w:t>Решение</w:t>
            </w:r>
          </w:p>
        </w:tc>
        <w:tc>
          <w:tcPr>
            <w:tcW w:type="dxa" w:w="5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диспетчерское решение по подтверждённой угрозе до 30 минут</w:t>
            </w:r>
          </w:p>
        </w:tc>
        <w:tc>
          <w:tcPr>
            <w:tcW w:type="dxa" w:w="25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временные метки события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6"/>
              </w:rPr>
              <w:t>Обследование</w:t>
            </w:r>
          </w:p>
        </w:tc>
        <w:tc>
          <w:tcPr>
            <w:tcW w:type="dxa" w:w="5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начало целевой миссии до 6 часов</w:t>
            </w:r>
          </w:p>
        </w:tc>
        <w:tc>
          <w:tcPr>
            <w:tcW w:type="dxa" w:w="25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план и журнал запуска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6"/>
              </w:rPr>
              <w:t>Источник</w:t>
            </w:r>
          </w:p>
        </w:tc>
        <w:tc>
          <w:tcPr>
            <w:tcW w:type="dxa" w:w="5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локализация вероятного источника не менее чем в 80% подтверждённых случаев</w:t>
            </w:r>
          </w:p>
        </w:tc>
        <w:tc>
          <w:tcPr>
            <w:tcW w:type="dxa" w:w="25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модель + контрольная проба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6"/>
              </w:rPr>
              <w:t>Эффективность</w:t>
            </w:r>
          </w:p>
        </w:tc>
        <w:tc>
          <w:tcPr>
            <w:tcW w:type="dxa" w:w="5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срок подводного обследования сокращён не менее чем на 40%</w:t>
            </w:r>
          </w:p>
        </w:tc>
        <w:tc>
          <w:tcPr>
            <w:tcW w:type="dxa" w:w="25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сравнение с базовым процессом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6"/>
              </w:rPr>
              <w:t>Стоимость</w:t>
            </w:r>
          </w:p>
        </w:tc>
        <w:tc>
          <w:tcPr>
            <w:tcW w:type="dxa" w:w="5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стоимость единицы обследованной акватории снижена не менее чем на 25%</w:t>
            </w:r>
          </w:p>
        </w:tc>
        <w:tc>
          <w:tcPr>
            <w:tcW w:type="dxa" w:w="256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финансовая модель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6"/>
              </w:rPr>
              <w:t>Финансирование</w:t>
            </w:r>
          </w:p>
        </w:tc>
        <w:tc>
          <w:tcPr>
            <w:tcW w:type="dxa" w:w="5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не менее 50% внебюджетных средств</w:t>
            </w:r>
          </w:p>
        </w:tc>
        <w:tc>
          <w:tcPr>
            <w:tcW w:type="dxa" w:w="25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договоры и платежи</w:t>
            </w:r>
          </w:p>
        </w:tc>
      </w:tr>
      <w:tr>
        <w:trPr>
          <w:cantSplit/>
        </w:trPr>
        <w:tc>
          <w:tcPr>
            <w:tcW w:type="dxa" w:w="1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6"/>
              </w:rPr>
              <w:t>Доказательность</w:t>
            </w:r>
          </w:p>
        </w:tc>
        <w:tc>
          <w:tcPr>
            <w:tcW w:type="dxa" w:w="51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100% ключевых KPI имеют цифровой след</w:t>
            </w:r>
          </w:p>
        </w:tc>
        <w:tc>
          <w:tcPr>
            <w:tcW w:type="dxa" w:w="2560"/>
          </w:tcPr>
          <w:p>
            <w:pPr>
              <w:spacing w:before="0" w:after="0" w:line="252" w:lineRule="auto"/>
              <w:jc w:val="center"/>
            </w:pPr>
            <w:r>
              <w:rPr>
                <w:rFonts w:ascii="Calibri" w:hAnsi="Calibri" w:eastAsia="Calibri" w:cs="Calibri"/>
                <w:b w:val="0"/>
                <w:color w:val="17242D"/>
                <w:sz w:val="16"/>
              </w:rPr>
              <w:t>аудит ESG-IR</w:t>
            </w:r>
          </w:p>
        </w:tc>
      </w:tr>
    </w:tbl>
    <w:p>
      <w:pPr>
        <w:spacing w:before="0" w:after="40" w:line="264" w:lineRule="auto"/>
        <w:jc w:val="left"/>
      </w:pPr>
    </w:p>
    <w:p>
      <w:pPr>
        <w:pStyle w:val="Heading2"/>
        <w:keepNext/>
      </w:pPr>
      <w:r>
        <w:t>16.1. Экологические KPI после базовой линии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сокращение длительности и площади гипоксии или иных целевых аномалий;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снижение нагрузки в выбранных контрольных точках;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восстановление связности или состояния приоритетного местообитания;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изменение интегрального индекса и его доменов;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рост готовности к предупреждению и сокращение ожидаемого ущерба;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отсутствие переноса загрязнений, патогенов или инвазивных видов роботизированными средствами.</w:t>
      </w:r>
    </w:p>
    <w:p>
      <w:pPr>
        <w:keepLines/>
        <w:spacing w:before="120" w:after="160" w:line="269" w:lineRule="auto"/>
        <w:ind w:left="173" w:right="115"/>
        <w:shd w:fill="EAF4F6"/>
        <w:widowControl/>
        <w:pBdr>
          <w:left w:val="single" w:sz="18" w:space="8" w:color="0B6E99"/>
        </w:pBdr>
      </w:pPr>
      <w:r>
        <w:rPr>
          <w:rFonts w:ascii="Calibri" w:hAnsi="Calibri" w:eastAsia="Calibri" w:cs="Calibri"/>
          <w:b/>
          <w:color w:val="0B6E99"/>
          <w:sz w:val="22"/>
        </w:rPr>
        <w:t xml:space="preserve">Критерий закрытия события. </w:t>
      </w:r>
      <w:r>
        <w:rPr>
          <w:rFonts w:ascii="Calibri" w:hAnsi="Calibri" w:eastAsia="Calibri" w:cs="Calibri"/>
          <w:color w:val="17242D"/>
          <w:sz w:val="22"/>
        </w:rPr>
        <w:t>Мероприятие считается завершённым не после выполнения работ, а после независимого подтверждения требуемого состояния в установленном временном окне.</w:t>
      </w:r>
    </w:p>
    <w:p>
      <w:pPr>
        <w:pStyle w:val="Heading1"/>
        <w:keepNext/>
      </w:pPr>
      <w:r>
        <w:t>17. Дорожная карта и масштабирование</w:t>
      </w:r>
    </w:p>
    <w:p>
      <w:pPr>
        <w:pStyle w:val="Heading2"/>
        <w:keepNext/>
      </w:pPr>
      <w:r>
        <w:t>17.1. Горизонт 0-24 месяца</w:t>
      </w:r>
    </w:p>
    <w:p>
      <w:pPr>
        <w:pStyle w:val="ListBody"/>
        <w:spacing w:after="160" w:line="280" w:lineRule="auto"/>
        <w:widowControl/>
        <w:numPr>
          <w:ilvl w:val="0"/>
          <w:numId w:val="18"/>
        </w:numPr>
      </w:pPr>
      <w:r>
        <w:rPr>
          <w:rFonts w:ascii="Calibri" w:hAnsi="Calibri" w:eastAsia="Calibri" w:cs="Calibri"/>
          <w:color w:val="17242D"/>
          <w:sz w:val="22"/>
        </w:rPr>
        <w:t>Учредить проектный офис, научно-методический совет и независимый контур верификации.</w:t>
      </w:r>
    </w:p>
    <w:p>
      <w:pPr>
        <w:pStyle w:val="ListBody"/>
        <w:spacing w:after="160" w:line="280" w:lineRule="auto"/>
        <w:widowControl/>
        <w:numPr>
          <w:ilvl w:val="0"/>
          <w:numId w:val="18"/>
        </w:numPr>
      </w:pPr>
      <w:r>
        <w:rPr>
          <w:rFonts w:ascii="Calibri" w:hAnsi="Calibri" w:eastAsia="Calibri" w:cs="Calibri"/>
          <w:color w:val="17242D"/>
          <w:sz w:val="22"/>
        </w:rPr>
        <w:t>Определить полигон, владельцев данных, правовые режимы и эталонные участки.</w:t>
      </w:r>
    </w:p>
    <w:p>
      <w:pPr>
        <w:pStyle w:val="ListBody"/>
        <w:spacing w:after="160" w:line="280" w:lineRule="auto"/>
        <w:widowControl/>
        <w:numPr>
          <w:ilvl w:val="0"/>
          <w:numId w:val="18"/>
        </w:numPr>
      </w:pPr>
      <w:r>
        <w:rPr>
          <w:rFonts w:ascii="Calibri" w:hAnsi="Calibri" w:eastAsia="Calibri" w:cs="Calibri"/>
          <w:color w:val="17242D"/>
          <w:sz w:val="22"/>
        </w:rPr>
        <w:t>Утвердить техническое задание на цифровой двойник, ГБТМ и роботизированную ячейку.</w:t>
      </w:r>
    </w:p>
    <w:p>
      <w:pPr>
        <w:pStyle w:val="ListBody"/>
        <w:spacing w:after="160" w:line="280" w:lineRule="auto"/>
        <w:widowControl/>
        <w:numPr>
          <w:ilvl w:val="0"/>
          <w:numId w:val="18"/>
        </w:numPr>
      </w:pPr>
      <w:r>
        <w:rPr>
          <w:rFonts w:ascii="Calibri" w:hAnsi="Calibri" w:eastAsia="Calibri" w:cs="Calibri"/>
          <w:color w:val="17242D"/>
          <w:sz w:val="22"/>
        </w:rPr>
        <w:t>Сформировать технологический консорциум и реестр отечественных и совместимых решений.</w:t>
      </w:r>
    </w:p>
    <w:p>
      <w:pPr>
        <w:pStyle w:val="ListBody"/>
        <w:spacing w:after="160" w:line="280" w:lineRule="auto"/>
        <w:widowControl/>
        <w:numPr>
          <w:ilvl w:val="0"/>
          <w:numId w:val="18"/>
        </w:numPr>
      </w:pPr>
      <w:r>
        <w:rPr>
          <w:rFonts w:ascii="Calibri" w:hAnsi="Calibri" w:eastAsia="Calibri" w:cs="Calibri"/>
          <w:color w:val="17242D"/>
          <w:sz w:val="22"/>
        </w:rPr>
        <w:t>Развернуть связь, станции, роботизированный флот и лабораторный контур.</w:t>
      </w:r>
    </w:p>
    <w:p>
      <w:pPr>
        <w:pStyle w:val="ListBody"/>
        <w:spacing w:after="160" w:line="280" w:lineRule="auto"/>
        <w:widowControl/>
        <w:numPr>
          <w:ilvl w:val="0"/>
          <w:numId w:val="18"/>
        </w:numPr>
      </w:pPr>
      <w:r>
        <w:rPr>
          <w:rFonts w:ascii="Calibri" w:hAnsi="Calibri" w:eastAsia="Calibri" w:cs="Calibri"/>
          <w:color w:val="17242D"/>
          <w:sz w:val="22"/>
        </w:rPr>
        <w:t>Провести 90-дневную базовую линию, затем годовой цикл сезонных наблюдений.</w:t>
      </w:r>
    </w:p>
    <w:p>
      <w:pPr>
        <w:pStyle w:val="ListBody"/>
        <w:spacing w:after="160" w:line="280" w:lineRule="auto"/>
        <w:widowControl/>
        <w:numPr>
          <w:ilvl w:val="0"/>
          <w:numId w:val="18"/>
        </w:numPr>
      </w:pPr>
      <w:r>
        <w:rPr>
          <w:rFonts w:ascii="Calibri" w:hAnsi="Calibri" w:eastAsia="Calibri" w:cs="Calibri"/>
          <w:color w:val="17242D"/>
          <w:sz w:val="22"/>
        </w:rPr>
        <w:t>Отработать не менее трёх сценариев: загрязнение, биологическая аномалия и техногенный дефект.</w:t>
      </w:r>
    </w:p>
    <w:p>
      <w:pPr>
        <w:pStyle w:val="ListBody"/>
        <w:spacing w:after="160" w:line="280" w:lineRule="auto"/>
        <w:widowControl/>
        <w:numPr>
          <w:ilvl w:val="0"/>
          <w:numId w:val="18"/>
        </w:numPr>
      </w:pPr>
      <w:r>
        <w:rPr>
          <w:rFonts w:ascii="Calibri" w:hAnsi="Calibri" w:eastAsia="Calibri" w:cs="Calibri"/>
          <w:color w:val="17242D"/>
          <w:sz w:val="22"/>
        </w:rPr>
        <w:t>Провести ESG-IR-аудит, расчёт экономики и решение о масштабировании.</w:t>
      </w:r>
    </w:p>
    <w:p>
      <w:pPr>
        <w:pStyle w:val="Heading2"/>
        <w:keepNext/>
      </w:pPr>
      <w:r>
        <w:t>17.2. Горизонт 3-5 лет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создание сети типовых речных, озёрных, прибрежных и арктических полигонов;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серийное производство модульных аппаратов, станций и доков;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национальный реестр водных биоценозов и подводной инфраструктуры;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объединение с аэрокосмическим, климатическим и чрезвычайным контурами ГАСМП;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экспорт типового решения через международную кооперацию и СФЕРУ;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формирование рынка верифицированных услуг по предупреждению водного ущерба.</w:t>
      </w:r>
    </w:p>
    <w:p>
      <w:pPr>
        <w:pStyle w:val="Heading2"/>
        <w:keepNext/>
      </w:pPr>
      <w:r>
        <w:t>17.3. Условия тиражирования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Масштабируется не отдельный робот, а целостная ячейка: паспорт объекта, базовая линия, сенсоры, флот, связь, цифровой двойник, регламент решения, финансовый контракт и независимая проверка. Конфигурация меняется по типу воды, но цифровая и управленческая архитектура остаётся единой.</w:t>
      </w:r>
    </w:p>
    <w:p>
      <w:pPr>
        <w:pStyle w:val="Heading1"/>
        <w:keepNext/>
      </w:pPr>
      <w:r>
        <w:t>18. Ожидаемые результаты</w:t>
      </w:r>
    </w:p>
    <w:p>
      <w:pPr>
        <w:pStyle w:val="Heading2"/>
        <w:keepNext/>
      </w:pPr>
      <w:r>
        <w:t>18.1. Для государства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единая достоверная картина водных рисков и состояния биоценозов;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раннее предупреждение и сокращение предотвращаемого ущерба;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межведомственная совместимость и закреплённая ответственность;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инструмент приоритизации инвестиций, контроля программ и оценки эффекта;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технологический суверенитет в подводной робототехнике и сенсорике.</w:t>
      </w:r>
    </w:p>
    <w:p>
      <w:pPr>
        <w:pStyle w:val="Heading2"/>
        <w:keepNext/>
      </w:pPr>
      <w:r>
        <w:t>18.2. Для регионов и муниципалитетов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паспорт водной территории и понятная карта источников нагрузки;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объективные данные для водоснабжения, очистки, паводков и рекреации;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быстрая диагностика труднодоступных участков и подводных сооружений;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привлечение внебюджетных средств через ECO-PPA.</w:t>
      </w:r>
    </w:p>
    <w:p>
      <w:pPr>
        <w:pStyle w:val="Heading2"/>
        <w:keepNext/>
      </w:pPr>
      <w:r>
        <w:t>18.3. Для науки и промышленности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долговременные проверенные ряды данных и натурные полигоны;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заказ на сенсоры, аппараты, связь, энергетику, материалы и программное обеспечение;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сравнимые методики eDNA, гидроакустики, изображений и роботизированного пробоотбора;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ускоренная проверка новых технологий в контролируемом правовом режиме.</w:t>
      </w:r>
    </w:p>
    <w:p>
      <w:pPr>
        <w:pStyle w:val="Heading2"/>
        <w:keepNext/>
      </w:pPr>
      <w:r>
        <w:t>18.4. Для человека и природы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чистая и доступная вода;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сохранение местообитаний, рыбных ресурсов и биоразнообразия;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меньший риск аварий, загрязнений и скрытого накопления ущерба;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прозрачная доказательная информация о состоянии территории;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переход от ликвидации последствий к восстановлению жизнеспособности водных систем.</w:t>
      </w:r>
    </w:p>
    <w:p>
      <w:pPr>
        <w:keepLines/>
        <w:spacing w:before="120" w:after="160" w:line="269" w:lineRule="auto"/>
        <w:ind w:left="173" w:right="115"/>
        <w:shd w:fill="E9F5F2"/>
        <w:widowControl/>
        <w:pBdr>
          <w:left w:val="single" w:sz="18" w:space="8" w:color="1D8C84"/>
        </w:pBdr>
      </w:pPr>
      <w:r>
        <w:rPr>
          <w:rFonts w:ascii="Calibri" w:hAnsi="Calibri" w:eastAsia="Calibri" w:cs="Calibri"/>
          <w:b/>
          <w:color w:val="1D8C84"/>
          <w:sz w:val="22"/>
        </w:rPr>
        <w:t xml:space="preserve">Стратегический результат. </w:t>
      </w:r>
      <w:r>
        <w:rPr>
          <w:rFonts w:ascii="Calibri" w:hAnsi="Calibri" w:eastAsia="Calibri" w:cs="Calibri"/>
          <w:color w:val="17242D"/>
          <w:sz w:val="22"/>
        </w:rPr>
        <w:t>Создаётся не система наблюдения за водой, а инфраструктура сохранения и восстановления живой гидросферы, в которой данные, робототехника, управление и финансирование образуют единый замкнутый цикл.</w:t>
      </w:r>
    </w:p>
    <w:p>
      <w:pPr>
        <w:pStyle w:val="Heading1"/>
        <w:keepNext/>
      </w:pPr>
      <w:r>
        <w:t>Приложение А. Паспорт гидроэкосистемы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rPr>
          <w:tblHeader w:val="true"/>
        </w:trP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  <w:jc w:val="center"/>
            </w:pPr>
            <w:r>
              <w:rPr>
                <w:rFonts w:ascii="Calibri" w:hAnsi="Calibri" w:eastAsia="Calibri" w:cs="Calibri"/>
                <w:b/>
                <w:color w:val="133C55"/>
                <w:sz w:val="18"/>
              </w:rPr>
              <w:t>Раздел паспорта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AF4F6"/>
          </w:tcPr>
          <w:p>
            <w:pPr>
              <w:spacing w:before="0" w:after="0" w:line="240" w:lineRule="auto"/>
            </w:pPr>
            <w:r>
              <w:rPr>
                <w:rFonts w:ascii="Calibri" w:hAnsi="Calibri" w:eastAsia="Calibri" w:cs="Calibri"/>
                <w:b/>
                <w:color w:val="133C55"/>
                <w:sz w:val="18"/>
              </w:rPr>
              <w:t>Обязательное содержание</w:t>
            </w:r>
          </w:p>
        </w:tc>
      </w:tr>
      <w:tr>
        <w:trPr>
          <w:cantSplit/>
        </w:trPr>
        <w:tc>
          <w:tcPr>
            <w:tcW w:type="dxa" w:w="2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Идентификация</w:t>
            </w:r>
          </w:p>
        </w:tc>
        <w:tc>
          <w:tcPr>
            <w:tcW w:type="dxa" w:w="66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код, название, тип, координаты, границы, бассейн, правовой статус</w:t>
            </w:r>
          </w:p>
        </w:tc>
      </w:tr>
      <w:tr>
        <w:trPr>
          <w:cantSplit/>
        </w:trPr>
        <w:tc>
          <w:tcPr>
            <w:tcW w:type="dxa" w:w="2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Гидрология</w:t>
            </w:r>
          </w:p>
        </w:tc>
        <w:tc>
          <w:tcPr>
            <w:tcW w:type="dxa" w:w="66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уровень, расход, водообмен, течения, температура, лёд, сезонность</w:t>
            </w:r>
          </w:p>
        </w:tc>
      </w:tr>
      <w:tr>
        <w:trPr>
          <w:cantSplit/>
        </w:trPr>
        <w:tc>
          <w:tcPr>
            <w:tcW w:type="dxa" w:w="2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Гидрохимия</w:t>
            </w:r>
          </w:p>
        </w:tc>
        <w:tc>
          <w:tcPr>
            <w:tcW w:type="dxa" w:w="66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базовые и специальные показатели, фон, пороги, неопределённость</w:t>
            </w:r>
          </w:p>
        </w:tc>
      </w:tr>
      <w:tr>
        <w:trPr>
          <w:cantSplit/>
        </w:trPr>
        <w:tc>
          <w:tcPr>
            <w:tcW w:type="dxa" w:w="2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Биоценоз</w:t>
            </w:r>
          </w:p>
        </w:tc>
        <w:tc>
          <w:tcPr>
            <w:tcW w:type="dxa" w:w="66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местообитания, виды, индикаторы, eDNA, трофические связи</w:t>
            </w:r>
          </w:p>
        </w:tc>
      </w:tr>
      <w:tr>
        <w:trPr>
          <w:cantSplit/>
        </w:trPr>
        <w:tc>
          <w:tcPr>
            <w:tcW w:type="dxa" w:w="2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Дно и берега</w:t>
            </w:r>
          </w:p>
        </w:tc>
        <w:tc>
          <w:tcPr>
            <w:tcW w:type="dxa" w:w="66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рельеф, осадки, эрозия, загрязнения и чувствительные зоны</w:t>
            </w:r>
          </w:p>
        </w:tc>
      </w:tr>
      <w:tr>
        <w:trPr>
          <w:cantSplit/>
        </w:trPr>
        <w:tc>
          <w:tcPr>
            <w:tcW w:type="dxa" w:w="2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Нагрузка</w:t>
            </w:r>
          </w:p>
        </w:tc>
        <w:tc>
          <w:tcPr>
            <w:tcW w:type="dxa" w:w="66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водозаборы, сбросы, сельское хозяйство, транспорт и население</w:t>
            </w:r>
          </w:p>
        </w:tc>
      </w:tr>
      <w:tr>
        <w:trPr>
          <w:cantSplit/>
        </w:trPr>
        <w:tc>
          <w:tcPr>
            <w:tcW w:type="dxa" w:w="2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Инфраструктура</w:t>
            </w:r>
          </w:p>
        </w:tc>
        <w:tc>
          <w:tcPr>
            <w:tcW w:type="dxa" w:w="66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ГТС, трубы, кабели, порты, водозаборы, очистные</w:t>
            </w:r>
          </w:p>
        </w:tc>
      </w:tr>
      <w:tr>
        <w:trPr>
          <w:cantSplit/>
        </w:trPr>
        <w:tc>
          <w:tcPr>
            <w:tcW w:type="dxa" w:w="2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Наблюдение</w:t>
            </w:r>
          </w:p>
        </w:tc>
        <w:tc>
          <w:tcPr>
            <w:tcW w:type="dxa" w:w="66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ГБТМ, станции, маршруты, сенсоры, лаборатории и связь</w:t>
            </w:r>
          </w:p>
        </w:tc>
      </w:tr>
      <w:tr>
        <w:trPr>
          <w:cantSplit/>
        </w:trPr>
        <w:tc>
          <w:tcPr>
            <w:tcW w:type="dxa" w:w="2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Риски</w:t>
            </w:r>
          </w:p>
        </w:tc>
        <w:tc>
          <w:tcPr>
            <w:tcW w:type="dxa" w:w="66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сценарии, экспозиция, ответственные, сроки и ресурсы</w:t>
            </w:r>
          </w:p>
        </w:tc>
      </w:tr>
      <w:tr>
        <w:trPr>
          <w:cantSplit/>
        </w:trPr>
        <w:tc>
          <w:tcPr>
            <w:tcW w:type="dxa" w:w="2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Показатели</w:t>
            </w:r>
          </w:p>
        </w:tc>
        <w:tc>
          <w:tcPr>
            <w:tcW w:type="dxa" w:w="66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базовая линия, I_ГЭ, R, L, D, G и экологические KPI</w:t>
            </w:r>
          </w:p>
        </w:tc>
      </w:tr>
      <w:tr>
        <w:trPr>
          <w:cantSplit/>
        </w:trPr>
        <w:tc>
          <w:tcPr>
            <w:tcW w:type="dxa" w:w="270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/>
                <w:color w:val="17242D"/>
                <w:sz w:val="18"/>
              </w:rPr>
              <w:t>История</w:t>
            </w:r>
          </w:p>
        </w:tc>
        <w:tc>
          <w:tcPr>
            <w:tcW w:type="dxa" w:w="6660"/>
          </w:tcPr>
          <w:p>
            <w:pPr>
              <w:spacing w:before="0" w:after="0" w:line="252" w:lineRule="auto"/>
            </w:pPr>
            <w:r>
              <w:rPr>
                <w:rFonts w:ascii="Calibri" w:hAnsi="Calibri" w:eastAsia="Calibri" w:cs="Calibri"/>
                <w:b w:val="0"/>
                <w:color w:val="17242D"/>
                <w:sz w:val="18"/>
              </w:rPr>
              <w:t>события, меры, версии моделей, контроль и ESG-IR-аудит</w:t>
            </w:r>
          </w:p>
        </w:tc>
      </w:tr>
    </w:tbl>
    <w:p>
      <w:pPr>
        <w:spacing w:before="0" w:after="40" w:line="264" w:lineRule="auto"/>
        <w:jc w:val="left"/>
      </w:pPr>
    </w:p>
    <w:p>
      <w:pPr>
        <w:pStyle w:val="Heading1"/>
        <w:keepNext/>
      </w:pPr>
      <w:r>
        <w:t>Приложение Б. Карточка роботизированной миссии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идентификатор миссии, дата, заказчик и уполномоченный руководитель;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цель, гипотеза, район, геозона, глубина и временное окно;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аппарат, полезная нагрузка, версии прошивки и задания;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маршрут, энергетический бюджет, резерв и сценарий потери связи;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класс автономности A0-A5 и допустимый класс воздействия I0-I3;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сенсоры, калибровка, частота и критерии качества;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правила обнаружения, подтверждения и переназначения маршрута;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меры защиты биоты, акустические ограничения и обеззараживание;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цепочка данных, проб и лабораторных результатов;</w:t>
      </w:r>
    </w:p>
    <w:p>
      <w:pPr>
        <w:pStyle w:val="ListBody"/>
        <w:spacing w:after="160" w:line="280" w:lineRule="auto"/>
        <w:widowControl/>
        <w:numPr>
          <w:ilvl w:val="0"/>
          <w:numId w:val="10"/>
        </w:numPr>
      </w:pPr>
      <w:r>
        <w:rPr>
          <w:rFonts w:ascii="Calibri" w:hAnsi="Calibri" w:eastAsia="Calibri" w:cs="Calibri"/>
          <w:color w:val="17242D"/>
          <w:sz w:val="22"/>
        </w:rPr>
        <w:t>итог, отклонения, инциденты, контрольная миссия и решение о закрытии.</w:t>
      </w:r>
    </w:p>
    <w:p>
      <w:pPr>
        <w:pStyle w:val="Heading1"/>
        <w:keepNext/>
      </w:pPr>
      <w:r>
        <w:t>Приложение В. Минимальная программа базовой линии</w:t>
      </w:r>
    </w:p>
    <w:p>
      <w:pPr>
        <w:pStyle w:val="ListBody"/>
        <w:spacing w:after="160" w:line="280" w:lineRule="auto"/>
        <w:widowControl/>
        <w:numPr>
          <w:ilvl w:val="0"/>
          <w:numId w:val="19"/>
        </w:numPr>
      </w:pPr>
      <w:r>
        <w:rPr>
          <w:rFonts w:ascii="Calibri" w:hAnsi="Calibri" w:eastAsia="Calibri" w:cs="Calibri"/>
          <w:color w:val="17242D"/>
          <w:sz w:val="22"/>
        </w:rPr>
        <w:t>Инвентаризация водного объекта, водосбора, источников нагрузки и инфраструктуры.</w:t>
      </w:r>
    </w:p>
    <w:p>
      <w:pPr>
        <w:pStyle w:val="ListBody"/>
        <w:spacing w:after="160" w:line="280" w:lineRule="auto"/>
        <w:widowControl/>
        <w:numPr>
          <w:ilvl w:val="0"/>
          <w:numId w:val="19"/>
        </w:numPr>
      </w:pPr>
      <w:r>
        <w:rPr>
          <w:rFonts w:ascii="Calibri" w:hAnsi="Calibri" w:eastAsia="Calibri" w:cs="Calibri"/>
          <w:color w:val="17242D"/>
          <w:sz w:val="22"/>
        </w:rPr>
        <w:t>Сезонные и суточные профили физических и гидрохимических параметров.</w:t>
      </w:r>
    </w:p>
    <w:p>
      <w:pPr>
        <w:pStyle w:val="ListBody"/>
        <w:spacing w:after="160" w:line="280" w:lineRule="auto"/>
        <w:widowControl/>
        <w:numPr>
          <w:ilvl w:val="0"/>
          <w:numId w:val="19"/>
        </w:numPr>
      </w:pPr>
      <w:r>
        <w:rPr>
          <w:rFonts w:ascii="Calibri" w:hAnsi="Calibri" w:eastAsia="Calibri" w:cs="Calibri"/>
          <w:color w:val="17242D"/>
          <w:sz w:val="22"/>
        </w:rPr>
        <w:t>Батиметрия, донные осадки и карта ключевых местообитаний.</w:t>
      </w:r>
    </w:p>
    <w:p>
      <w:pPr>
        <w:pStyle w:val="ListBody"/>
        <w:spacing w:after="160" w:line="280" w:lineRule="auto"/>
        <w:widowControl/>
        <w:numPr>
          <w:ilvl w:val="0"/>
          <w:numId w:val="19"/>
        </w:numPr>
      </w:pPr>
      <w:r>
        <w:rPr>
          <w:rFonts w:ascii="Calibri" w:hAnsi="Calibri" w:eastAsia="Calibri" w:cs="Calibri"/>
          <w:color w:val="17242D"/>
          <w:sz w:val="22"/>
        </w:rPr>
        <w:t>Биоиндикация: планктон, бентос, рыбы, макрофиты, eDNA и акустический фон.</w:t>
      </w:r>
    </w:p>
    <w:p>
      <w:pPr>
        <w:pStyle w:val="ListBody"/>
        <w:spacing w:after="160" w:line="280" w:lineRule="auto"/>
        <w:widowControl/>
        <w:numPr>
          <w:ilvl w:val="0"/>
          <w:numId w:val="19"/>
        </w:numPr>
      </w:pPr>
      <w:r>
        <w:rPr>
          <w:rFonts w:ascii="Calibri" w:hAnsi="Calibri" w:eastAsia="Calibri" w:cs="Calibri"/>
          <w:color w:val="17242D"/>
          <w:sz w:val="22"/>
        </w:rPr>
        <w:t>Контрольные и эталонные участки, лабораторная сверка и оценка неопределённости.</w:t>
      </w:r>
    </w:p>
    <w:p>
      <w:pPr>
        <w:pStyle w:val="ListBody"/>
        <w:spacing w:after="160" w:line="280" w:lineRule="auto"/>
        <w:widowControl/>
        <w:numPr>
          <w:ilvl w:val="0"/>
          <w:numId w:val="19"/>
        </w:numPr>
      </w:pPr>
      <w:r>
        <w:rPr>
          <w:rFonts w:ascii="Calibri" w:hAnsi="Calibri" w:eastAsia="Calibri" w:cs="Calibri"/>
          <w:color w:val="17242D"/>
          <w:sz w:val="22"/>
        </w:rPr>
        <w:t>Проверка связи, автономности, возвратности аппаратов и сценариев отказа.</w:t>
      </w:r>
    </w:p>
    <w:p>
      <w:pPr>
        <w:pStyle w:val="ListBody"/>
        <w:spacing w:after="160" w:line="280" w:lineRule="auto"/>
        <w:widowControl/>
        <w:numPr>
          <w:ilvl w:val="0"/>
          <w:numId w:val="19"/>
        </w:numPr>
      </w:pPr>
      <w:r>
        <w:rPr>
          <w:rFonts w:ascii="Calibri" w:hAnsi="Calibri" w:eastAsia="Calibri" w:cs="Calibri"/>
          <w:color w:val="17242D"/>
          <w:sz w:val="22"/>
        </w:rPr>
        <w:t>Оценка естественной вариабельности и установление порогов событий.</w:t>
      </w:r>
    </w:p>
    <w:p>
      <w:pPr>
        <w:pStyle w:val="ListBody"/>
        <w:spacing w:after="160" w:line="280" w:lineRule="auto"/>
        <w:widowControl/>
        <w:numPr>
          <w:ilvl w:val="0"/>
          <w:numId w:val="19"/>
        </w:numPr>
      </w:pPr>
      <w:r>
        <w:rPr>
          <w:rFonts w:ascii="Calibri" w:hAnsi="Calibri" w:eastAsia="Calibri" w:cs="Calibri"/>
          <w:color w:val="17242D"/>
          <w:sz w:val="22"/>
        </w:rPr>
        <w:t>Расчёт исходных I_ГЭ, R, L, D и G, утверждение экологических KPI.</w:t>
      </w:r>
    </w:p>
    <w:p>
      <w:pPr>
        <w:pStyle w:val="Heading1"/>
        <w:keepNext/>
      </w:pPr>
      <w:r>
        <w:t>Официальные источники и методологическая база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Актуальность ссылок и статусов проверена на 26 августа 2026 года. Источники используются как методологическая основа; конкретные обязательные требования определяются применимым законодательством, условиями акватории и утверждённым техническим заданием.</w:t>
      </w:r>
    </w:p>
    <w:p>
      <w:pPr>
        <w:pStyle w:val="ListBody"/>
        <w:widowControl/>
        <w:spacing w:after="120"/>
        <w:ind w:left="259" w:hanging="259"/>
      </w:pPr>
      <w:r>
        <w:rPr>
          <w:rFonts w:ascii="Calibri" w:hAnsi="Calibri" w:eastAsia="Calibri" w:cs="Calibri"/>
          <w:color w:val="17242D"/>
          <w:sz w:val="19"/>
        </w:rPr>
        <w:t xml:space="preserve">[1] WMO. State of Global Water Resources 2024 (2025). </w:t>
      </w:r>
      <w:hyperlink r:id="rId16">
        <w:r>
          <w:rPr>
            <w:rFonts w:ascii="Calibri" w:hAnsi="Calibri"/>
            <w:color w:val="0B6E99"/>
            <w:u w:val="single"/>
            <w:sz w:val="20"/>
          </w:rPr>
          <w:t>Официальная страница</w:t>
        </w:r>
      </w:hyperlink>
    </w:p>
    <w:p>
      <w:pPr>
        <w:pStyle w:val="ListBody"/>
        <w:widowControl/>
        <w:spacing w:after="120"/>
        <w:ind w:left="259" w:hanging="259"/>
      </w:pPr>
      <w:r>
        <w:rPr>
          <w:rFonts w:ascii="Calibri" w:hAnsi="Calibri" w:eastAsia="Calibri" w:cs="Calibri"/>
          <w:color w:val="17242D"/>
          <w:sz w:val="19"/>
        </w:rPr>
        <w:t xml:space="preserve">[2] UN-Water. Progress on Water-related Ecosystems - 2024 Update. </w:t>
      </w:r>
      <w:hyperlink r:id="rId17">
        <w:r>
          <w:rPr>
            <w:rFonts w:ascii="Calibri" w:hAnsi="Calibri"/>
            <w:color w:val="0B6E99"/>
            <w:u w:val="single"/>
            <w:sz w:val="20"/>
          </w:rPr>
          <w:t>Официальная страница</w:t>
        </w:r>
      </w:hyperlink>
    </w:p>
    <w:p>
      <w:pPr>
        <w:pStyle w:val="ListBody"/>
        <w:widowControl/>
        <w:spacing w:after="120"/>
        <w:ind w:left="259" w:hanging="259"/>
      </w:pPr>
      <w:r>
        <w:rPr>
          <w:rFonts w:ascii="Calibri" w:hAnsi="Calibri" w:eastAsia="Calibri" w:cs="Calibri"/>
          <w:color w:val="17242D"/>
          <w:sz w:val="19"/>
        </w:rPr>
        <w:t xml:space="preserve">[3] IOC/UNESCO. State of the Ocean Report 2024. </w:t>
      </w:r>
      <w:hyperlink r:id="rId18">
        <w:r>
          <w:rPr>
            <w:rFonts w:ascii="Calibri" w:hAnsi="Calibri"/>
            <w:color w:val="0B6E99"/>
            <w:u w:val="single"/>
            <w:sz w:val="20"/>
          </w:rPr>
          <w:t>Официальная страница</w:t>
        </w:r>
      </w:hyperlink>
    </w:p>
    <w:p>
      <w:pPr>
        <w:pStyle w:val="ListBody"/>
        <w:widowControl/>
        <w:spacing w:after="120"/>
        <w:ind w:left="259" w:hanging="259"/>
      </w:pPr>
      <w:r>
        <w:rPr>
          <w:rFonts w:ascii="Calibri" w:hAnsi="Calibri" w:eastAsia="Calibri" w:cs="Calibri"/>
          <w:color w:val="17242D"/>
          <w:sz w:val="19"/>
        </w:rPr>
        <w:t xml:space="preserve">[4] GOOS / IOC-UNESCO. Global Ocean Observing System: 2030 Strategy. </w:t>
      </w:r>
      <w:hyperlink r:id="rId19">
        <w:r>
          <w:rPr>
            <w:rFonts w:ascii="Calibri" w:hAnsi="Calibri"/>
            <w:color w:val="0B6E99"/>
            <w:u w:val="single"/>
            <w:sz w:val="20"/>
          </w:rPr>
          <w:t>Официальная страница</w:t>
        </w:r>
      </w:hyperlink>
    </w:p>
    <w:p>
      <w:pPr>
        <w:pStyle w:val="ListBody"/>
        <w:widowControl/>
        <w:spacing w:after="120"/>
        <w:ind w:left="259" w:hanging="259"/>
      </w:pPr>
      <w:r>
        <w:rPr>
          <w:rFonts w:ascii="Calibri" w:hAnsi="Calibri" w:eastAsia="Calibri" w:cs="Calibri"/>
          <w:color w:val="17242D"/>
          <w:sz w:val="19"/>
        </w:rPr>
        <w:t xml:space="preserve">[5] IOC-UNESCO OBIS. OBIS 2030: The Biodiversity Data Hub for the Ocean Decade Actions. </w:t>
      </w:r>
      <w:hyperlink r:id="rId20">
        <w:r>
          <w:rPr>
            <w:rFonts w:ascii="Calibri" w:hAnsi="Calibri"/>
            <w:color w:val="0B6E99"/>
            <w:u w:val="single"/>
            <w:sz w:val="20"/>
          </w:rPr>
          <w:t>Официальная страница</w:t>
        </w:r>
      </w:hyperlink>
    </w:p>
    <w:p>
      <w:pPr>
        <w:pStyle w:val="ListBody"/>
        <w:widowControl/>
        <w:spacing w:after="120"/>
        <w:ind w:left="259" w:hanging="259"/>
      </w:pPr>
      <w:r>
        <w:rPr>
          <w:rFonts w:ascii="Calibri" w:hAnsi="Calibri" w:eastAsia="Calibri" w:cs="Calibri"/>
          <w:color w:val="17242D"/>
          <w:sz w:val="19"/>
        </w:rPr>
        <w:t xml:space="preserve">[6] ISO 22013:2021. Marine environment sensor performance - General requirements. </w:t>
      </w:r>
      <w:hyperlink r:id="rId21">
        <w:r>
          <w:rPr>
            <w:rFonts w:ascii="Calibri" w:hAnsi="Calibri"/>
            <w:color w:val="0B6E99"/>
            <w:u w:val="single"/>
            <w:sz w:val="20"/>
          </w:rPr>
          <w:t>Официальная страница</w:t>
        </w:r>
      </w:hyperlink>
    </w:p>
    <w:p>
      <w:pPr>
        <w:pStyle w:val="ListBody"/>
        <w:widowControl/>
        <w:spacing w:after="120"/>
        <w:ind w:left="259" w:hanging="259"/>
      </w:pPr>
      <w:r>
        <w:rPr>
          <w:rFonts w:ascii="Calibri" w:hAnsi="Calibri" w:eastAsia="Calibri" w:cs="Calibri"/>
          <w:color w:val="17242D"/>
          <w:sz w:val="19"/>
        </w:rPr>
        <w:t xml:space="preserve">[7] ISO 23731:2021. In situ image-based surveys in deep seafloor environments. </w:t>
      </w:r>
      <w:hyperlink r:id="rId22">
        <w:r>
          <w:rPr>
            <w:rFonts w:ascii="Calibri" w:hAnsi="Calibri"/>
            <w:color w:val="0B6E99"/>
            <w:u w:val="single"/>
            <w:sz w:val="20"/>
          </w:rPr>
          <w:t>Официальная страница</w:t>
        </w:r>
      </w:hyperlink>
    </w:p>
    <w:p>
      <w:pPr>
        <w:pStyle w:val="ListBody"/>
        <w:widowControl/>
        <w:spacing w:after="120"/>
        <w:ind w:left="259" w:hanging="259"/>
      </w:pPr>
      <w:r>
        <w:rPr>
          <w:rFonts w:ascii="Calibri" w:hAnsi="Calibri" w:eastAsia="Calibri" w:cs="Calibri"/>
          <w:color w:val="17242D"/>
          <w:sz w:val="19"/>
        </w:rPr>
        <w:t xml:space="preserve">[8] ISO 20682:2026. Autonomous underwater vehicles - Risk and reliability. </w:t>
      </w:r>
      <w:hyperlink r:id="rId23">
        <w:r>
          <w:rPr>
            <w:rFonts w:ascii="Calibri" w:hAnsi="Calibri"/>
            <w:color w:val="0B6E99"/>
            <w:u w:val="single"/>
            <w:sz w:val="20"/>
          </w:rPr>
          <w:t>Официальная страница</w:t>
        </w:r>
      </w:hyperlink>
    </w:p>
    <w:p>
      <w:pPr>
        <w:pStyle w:val="ListBody"/>
        <w:widowControl/>
        <w:spacing w:after="120"/>
        <w:ind w:left="259" w:hanging="259"/>
      </w:pPr>
      <w:r>
        <w:rPr>
          <w:rFonts w:ascii="Calibri" w:hAnsi="Calibri" w:eastAsia="Calibri" w:cs="Calibri"/>
          <w:color w:val="17242D"/>
          <w:sz w:val="19"/>
        </w:rPr>
        <w:t xml:space="preserve">[9] ISO 25451:2026. Seafloor mapping with uncrewed marine vehicles. </w:t>
      </w:r>
      <w:hyperlink r:id="rId24">
        <w:r>
          <w:rPr>
            <w:rFonts w:ascii="Calibri" w:hAnsi="Calibri"/>
            <w:color w:val="0B6E99"/>
            <w:u w:val="single"/>
            <w:sz w:val="20"/>
          </w:rPr>
          <w:t>Официальная страница</w:t>
        </w:r>
      </w:hyperlink>
    </w:p>
    <w:p>
      <w:pPr>
        <w:pStyle w:val="ListBody"/>
        <w:widowControl/>
        <w:spacing w:after="120"/>
        <w:ind w:left="259" w:hanging="259"/>
      </w:pPr>
      <w:r>
        <w:rPr>
          <w:rFonts w:ascii="Calibri" w:hAnsi="Calibri" w:eastAsia="Calibri" w:cs="Calibri"/>
          <w:color w:val="17242D"/>
          <w:sz w:val="19"/>
        </w:rPr>
        <w:t xml:space="preserve">[10] IMO. MEPC.1/Circ.906/Rev.1. Underwater noise from shipping (2025). </w:t>
      </w:r>
      <w:hyperlink r:id="rId25">
        <w:r>
          <w:rPr>
            <w:rFonts w:ascii="Calibri" w:hAnsi="Calibri"/>
            <w:color w:val="0B6E99"/>
            <w:u w:val="single"/>
            <w:sz w:val="20"/>
          </w:rPr>
          <w:t>Официальная страница</w:t>
        </w:r>
      </w:hyperlink>
    </w:p>
    <w:p>
      <w:pPr>
        <w:pStyle w:val="ListBody"/>
        <w:widowControl/>
        <w:spacing w:after="120"/>
        <w:ind w:left="259" w:hanging="259"/>
      </w:pPr>
      <w:r>
        <w:rPr>
          <w:rFonts w:ascii="Calibri" w:hAnsi="Calibri" w:eastAsia="Calibri" w:cs="Calibri"/>
          <w:color w:val="17242D"/>
          <w:sz w:val="19"/>
        </w:rPr>
        <w:t xml:space="preserve">[11] GOOS. Essential Ocean Variables. </w:t>
      </w:r>
      <w:hyperlink r:id="rId26">
        <w:r>
          <w:rPr>
            <w:rFonts w:ascii="Calibri" w:hAnsi="Calibri"/>
            <w:color w:val="0B6E99"/>
            <w:u w:val="single"/>
            <w:sz w:val="20"/>
          </w:rPr>
          <w:t>Официальная страница</w:t>
        </w:r>
      </w:hyperlink>
    </w:p>
    <w:p>
      <w:pPr>
        <w:pStyle w:val="ListBody"/>
        <w:widowControl/>
        <w:spacing w:after="120"/>
        <w:ind w:left="259" w:hanging="259"/>
      </w:pPr>
      <w:r>
        <w:rPr>
          <w:rFonts w:ascii="Calibri" w:hAnsi="Calibri" w:eastAsia="Calibri" w:cs="Calibri"/>
          <w:color w:val="17242D"/>
          <w:sz w:val="19"/>
        </w:rPr>
        <w:t xml:space="preserve">[12] NOAA IOOS. QARTOD - Quality Assurance of Real-Time Oceanographic Data. </w:t>
      </w:r>
      <w:hyperlink r:id="rId27">
        <w:r>
          <w:rPr>
            <w:rFonts w:ascii="Calibri" w:hAnsi="Calibri"/>
            <w:color w:val="0B6E99"/>
            <w:u w:val="single"/>
            <w:sz w:val="20"/>
          </w:rPr>
          <w:t>Официальная страница</w:t>
        </w:r>
      </w:hyperlink>
    </w:p>
    <w:p>
      <w:pPr>
        <w:pStyle w:val="ListBody"/>
        <w:widowControl/>
        <w:spacing w:after="120"/>
        <w:ind w:left="259" w:hanging="259"/>
      </w:pPr>
      <w:r>
        <w:rPr>
          <w:rFonts w:ascii="Calibri" w:hAnsi="Calibri" w:eastAsia="Calibri" w:cs="Calibri"/>
          <w:color w:val="17242D"/>
          <w:sz w:val="19"/>
        </w:rPr>
        <w:t xml:space="preserve">[13] NOAA Ocean Exploration. Autonomous Underwater Vehicles. </w:t>
      </w:r>
      <w:hyperlink r:id="rId28">
        <w:r>
          <w:rPr>
            <w:rFonts w:ascii="Calibri" w:hAnsi="Calibri"/>
            <w:color w:val="0B6E99"/>
            <w:u w:val="single"/>
            <w:sz w:val="20"/>
          </w:rPr>
          <w:t>Официальная страница</w:t>
        </w:r>
      </w:hyperlink>
    </w:p>
    <w:p>
      <w:pPr>
        <w:pStyle w:val="Heading1"/>
        <w:keepNext/>
      </w:pPr>
      <w:r>
        <w:t>Заключение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«ГИДРОСФЕРА ЭКВИЛИБРИУМ» соединяет то, что сегодня существует раздельно: наблюдение воды, оценку живых сообществ, обследование подводной инфраструктуры, роботизированные миссии, цифровое прогнозирование, мобилизацию ресурсов и доказательство результата.</w:t>
      </w:r>
    </w:p>
    <w:p>
      <w:pPr>
        <w:widowControl/>
        <w:spacing w:before="0" w:after="120" w:line="264" w:lineRule="auto"/>
        <w:jc w:val="left"/>
      </w:pPr>
      <w:r>
        <w:rPr>
          <w:rFonts w:ascii="Calibri" w:hAnsi="Calibri" w:eastAsia="Calibri" w:cs="Calibri"/>
          <w:b w:val="0"/>
          <w:i w:val="0"/>
          <w:color w:val="17242D"/>
          <w:sz w:val="22"/>
        </w:rPr>
        <w:t>Система переводит управление из режима эпизодических проб и ликвидации последствий в режим непрерывного понимания, раннего предупреждения и контролируемого восстановления. Её базовый продукт - здоровая, наблюдаемая и защищённая гидроэкосистема с цифровым паспортом, ответственным владельцем процессов и проверяемой историей изменений.</w:t>
      </w:r>
    </w:p>
    <w:p>
      <w:pPr>
        <w:widowControl/>
        <w:spacing w:before="160" w:after="240" w:line="264" w:lineRule="auto"/>
        <w:jc w:val="left"/>
      </w:pPr>
      <w:r>
        <w:rPr>
          <w:rFonts w:ascii="Calibri" w:hAnsi="Calibri" w:eastAsia="Calibri" w:cs="Calibri"/>
          <w:b/>
          <w:i w:val="0"/>
          <w:color w:val="133C55"/>
          <w:sz w:val="22"/>
        </w:rPr>
        <w:t>Следующий организационный шаг - предпроектное обследование полигона «ГИДРОСФЕРА-1», утверждение научной программы базовой линии и формирование технологического консорциума СПЕЦЗАЩИТЫ.</w:t>
      </w:r>
    </w:p>
    <w:sectPr w:rsidR="00FC693F" w:rsidRPr="0006063C" w:rsidSect="00034616">
      <w:headerReference w:type="default" r:id="rId12"/>
      <w:footerReference w:type="default" r:id="rId13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 w:cs="Calibri"/>
        <w:color w:val="77848D"/>
        <w:sz w:val="18"/>
      </w:rPr>
      <w:t xml:space="preserve">Страница </w:t>
    </w:r>
    <w:fldSimple w:instr="PAGE">
      <w:r>
        <w:rPr>
          <w:rFonts w:ascii="Calibri" w:hAnsi="Calibri"/>
          <w:sz w:val="18"/>
          <w:color w:val="77848D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360" w:val="right"/>
      </w:tabs>
      <w:spacing w:after="0"/>
    </w:pPr>
    <w:r>
      <w:rPr>
        <w:rFonts w:ascii="Calibri" w:hAnsi="Calibri" w:eastAsia="Calibri" w:cs="Calibri"/>
        <w:b/>
        <w:color w:val="77848D"/>
        <w:sz w:val="17"/>
      </w:rPr>
      <w:t>ОРИОН 22:22 / ЭКВИЛИБРИУМ</w:t>
    </w:r>
    <w:r>
      <w:rPr>
        <w:rFonts w:ascii="Calibri" w:hAnsi="Calibri" w:eastAsia="Calibri" w:cs="Calibri"/>
        <w:color w:val="77848D"/>
        <w:sz w:val="17"/>
      </w:rPr>
      <w:tab/>
      <w:t>ВОДНЫЙ КОНТУР ГАСМП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</w:pPr>
      <w:rPr>
        <w:rFonts w:ascii="Calibri" w:hAnsi="Calibri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</w:pPr>
    </w:lvl>
  </w:abstractNum>
  <w:num w:numId="11">
    <w:abstractNumId w:val="10"/>
  </w:num>
  <w:abstractNum w:abstractNumId="11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</w:p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</w:pPr>
    </w:lvl>
  </w:abstractNum>
  <w:num w:numId="13">
    <w:abstractNumId w:val="12"/>
  </w:num>
  <w:abstractNum w:abstractNumId="13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</w:pPr>
    </w:lvl>
  </w:abstractNum>
  <w:num w:numId="14">
    <w:abstractNumId w:val="13"/>
  </w:num>
  <w:abstractNum w:abstractNumId="14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</w:pPr>
    </w:lvl>
  </w:abstractNum>
  <w:num w:numId="15">
    <w:abstractNumId w:val="14"/>
  </w:num>
  <w:abstractNum w:abstractNumId="15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</w:pPr>
    </w:lvl>
  </w:abstractNum>
  <w:num w:numId="16">
    <w:abstractNumId w:val="15"/>
  </w:num>
  <w:abstractNum w:abstractNumId="16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</w:pPr>
    </w:lvl>
  </w:abstractNum>
  <w:num w:numId="17">
    <w:abstractNumId w:val="16"/>
  </w:num>
  <w:abstractNum w:abstractNumId="17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</w:pPr>
    </w:lvl>
  </w:abstractNum>
  <w:num w:numId="18">
    <w:abstractNumId w:val="17"/>
  </w:num>
  <w:abstractNum w:abstractNumId="18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</w:pPr>
    </w:lvl>
  </w:abstract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 w:eastAsia="Calibri"/>
      <w:color w:val="17242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 w:line="240" w:lineRule="auto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0B6E9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240" w:lineRule="auto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0B6E9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 w:ascii="Calibri" w:hAnsi="Calibri" w:eastAsia="Calibri"/>
      <w:b/>
      <w:bCs/>
      <w:color w:val="133C55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33C55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160"/>
    </w:pPr>
    <w:rPr>
      <w:rFonts w:asciiTheme="majorHAnsi" w:eastAsiaTheme="majorEastAsia" w:hAnsiTheme="majorHAnsi" w:cstheme="majorBidi" w:ascii="Calibri" w:hAnsi="Calibri"/>
      <w:i w:val="0"/>
      <w:iCs/>
      <w:color w:val="0B6E99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Calibri" w:hAnsi="Calibri"/>
      <w:b/>
      <w:bCs/>
      <w:i/>
      <w:color w:val="77848D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istBody">
    <w:name w:val="List Body"/>
    <w:basedOn w:val="Normal"/>
    <w:pPr>
      <w:spacing w:after="160" w:line="280" w:lineRule="auto"/>
    </w:pPr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eader" Target="header2.xml"/><Relationship Id="rId13" Type="http://schemas.openxmlformats.org/officeDocument/2006/relationships/footer" Target="footer2.xml"/><Relationship Id="rId14" Type="http://schemas.openxmlformats.org/officeDocument/2006/relationships/image" Target="media/image2.png"/><Relationship Id="rId15" Type="http://schemas.openxmlformats.org/officeDocument/2006/relationships/image" Target="media/image3.png"/><Relationship Id="rId16" Type="http://schemas.openxmlformats.org/officeDocument/2006/relationships/hyperlink" Target="https://wmo.int/resources/publication-series/state-of-global-water-resources/state-of-global-water-resources-2024" TargetMode="External"/><Relationship Id="rId17" Type="http://schemas.openxmlformats.org/officeDocument/2006/relationships/hyperlink" Target="https://www.unwater.org/publications/progress-water-related-ecosystems-2024-update" TargetMode="External"/><Relationship Id="rId18" Type="http://schemas.openxmlformats.org/officeDocument/2006/relationships/hyperlink" Target="https://www.ioc.unesco.org/en/stor2024" TargetMode="External"/><Relationship Id="rId19" Type="http://schemas.openxmlformats.org/officeDocument/2006/relationships/hyperlink" Target="https://unesdoc.unesco.org/ark:/48223/pf0000368020" TargetMode="External"/><Relationship Id="rId20" Type="http://schemas.openxmlformats.org/officeDocument/2006/relationships/hyperlink" Target="https://obis.org/2023/04/19/obis2030-datahub/" TargetMode="External"/><Relationship Id="rId21" Type="http://schemas.openxmlformats.org/officeDocument/2006/relationships/hyperlink" Target="https://www.iso.org/standard/72218.html" TargetMode="External"/><Relationship Id="rId22" Type="http://schemas.openxmlformats.org/officeDocument/2006/relationships/hyperlink" Target="https://www.iso.org/standard/76787.html" TargetMode="External"/><Relationship Id="rId23" Type="http://schemas.openxmlformats.org/officeDocument/2006/relationships/hyperlink" Target="https://www.iso.org/standard/86398.html" TargetMode="External"/><Relationship Id="rId24" Type="http://schemas.openxmlformats.org/officeDocument/2006/relationships/hyperlink" Target="https://www.iso.org/standard/90458.html" TargetMode="External"/><Relationship Id="rId25" Type="http://schemas.openxmlformats.org/officeDocument/2006/relationships/hyperlink" Target="https://glonoise.imo.org/documents/2524" TargetMode="External"/><Relationship Id="rId26" Type="http://schemas.openxmlformats.org/officeDocument/2006/relationships/hyperlink" Target="https://goosocean.org/what-we-do/framework/essential-ocean-variables/" TargetMode="External"/><Relationship Id="rId27" Type="http://schemas.openxmlformats.org/officeDocument/2006/relationships/hyperlink" Target="https://ioos.noaa.gov/project/qartod/" TargetMode="External"/><Relationship Id="rId28" Type="http://schemas.openxmlformats.org/officeDocument/2006/relationships/hyperlink" Target="https://oceanexplorer.noaa.gov/technology/subs-auv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Гидросфера ЭКВИЛИБРИУМ. Биоценоз водных ресурсов и подводная робототехника</dc:title>
  <dc:subject>Стратегическая концепция водного контура ГАСМП</dc:subject>
  <dc:creator>Соколов Сергей Леонидович / проект ОРИОН 22:22</dc:creator>
  <cp:keywords>ЭКВИЛИБРИУМ; ГАСМП; гидросфера; гидробиоценоз; подводная робототехника; ECO-PPA; СПЕЦЗАЩИТА</cp:keywords>
  <dc:description>Версия 1.0, 26 августа 2026 года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