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0375A"/>
          <w:sz w:val="50"/>
        </w:rPr>
        <w:t>СПЕЦЗАЩИТА</w:t>
        <w:br/>
        <w:t>ГИДРОРОБОТОТЕХНИКА</w:t>
      </w:r>
    </w:p>
    <w:p>
      <w:pPr>
        <w:jc w:val="center"/>
      </w:pPr>
      <w:r>
        <w:rPr>
          <w:rFonts w:ascii="Arial" w:hAnsi="Arial"/>
          <w:color w:val="006482"/>
          <w:sz w:val="26"/>
        </w:rPr>
        <w:t>Подводные роботизированные системы для науки, промышленности, экологии, безопасности и судостроения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217920" cy="34994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de_infographic_style_underwater_scene_poster_abo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4994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A5A5A"/>
          <w:sz w:val="18"/>
        </w:rPr>
        <w:t>Версия: стратегическое исследование и проектный пакет • 2026</w:t>
      </w:r>
    </w:p>
    <w:p>
      <w:r>
        <w:br w:type="page"/>
      </w:r>
    </w:p>
    <w:p>
      <w:pPr>
        <w:pStyle w:val="Heading1"/>
      </w:pPr>
      <w:r>
        <w:rPr>
          <w:rFonts w:ascii="Arial" w:hAnsi="Arial" w:eastAsia="Arial"/>
          <w:color w:val="003C64"/>
        </w:rPr>
        <w:t>1. Краткая суть</w:t>
      </w:r>
    </w:p>
    <w:p>
      <w:r>
        <w:t>Гидроробототехника — это технологический контур подводных роботизированных систем, объединяющий автономные аппараты AUV, телеуправляемые ROV, подводные глайдеры, донные станции, гидроакустику, навигацию, сенсоры, манипуляторы, ИИ-обработку данных и сервисную инфраструктуру. Для СПЕЦЗАЩИТЫ это не отдельный приборный рынок, а прикладная система контроля акваторий, портов, судостроительных активов, трубопроводов, кабелей, гидротехнических сооружений, биоценозов и подводной инфраструктуры.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Цель: сформировать российский производственно-научный контур гидроробототехники полного цикла.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Опорные заказчики: судостроение, порты, транспорт, энергетика, экология, наука, спасательные службы, безопасность.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Принцип: аппарат + сенсорика + связь + данные + сервис + регламент эксплуатации.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Результат: серия пилотных систем, испытательный полигон, отраслевой реестр решений и программа масштабирования.</w:t>
      </w:r>
    </w:p>
    <w:p>
      <w:pPr>
        <w:pStyle w:val="Heading1"/>
      </w:pPr>
      <w:r>
        <w:rPr>
          <w:rFonts w:ascii="Arial" w:hAnsi="Arial" w:eastAsia="Arial"/>
          <w:color w:val="003C64"/>
        </w:rPr>
        <w:t>2. Почему тема стратегическая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Большая часть подводных объектов не видна обычным средствам наблюдения; роботизация превращает акваторию в измеряемую и управляемую среду.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Судостроение получает новый рынок: не только корабли, но и носители, док-станции, пуско-подъемные устройства, сервисные суда, центры данных и обучение экипажей.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Экологический мониторинг получает постоянные измерения: вода, донные отложения, биоценозы, загрязнения, состояние гидротехнических сооружений.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Безопасность получает инструменты поиска, обследования, разминирования, охраны портов, кабелей, трубопроводов и критической инфраструктуры.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Материаловедение становится ядром: корпуса, композиты, техническая керамика, синтактическая пена, покрытия, герметизация, оптика, силовая электроника.</w:t>
      </w:r>
    </w:p>
    <w:p>
      <w:pPr>
        <w:pStyle w:val="Heading1"/>
      </w:pPr>
      <w:r>
        <w:rPr>
          <w:rFonts w:ascii="Arial" w:hAnsi="Arial" w:eastAsia="Arial"/>
          <w:color w:val="003C64"/>
        </w:rPr>
        <w:t>3. Таксономия систем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Класс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Сильные стороны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Ограничения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AUV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Автономное обследование, картография, миссии по маршруту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Дальность, скрытность, снижение нагрузки на судно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Сложнее связь и возврат, ограниченная интервенция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ROV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Точная инспекция, ремонт, манипуляции, отбор проб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Реальное время, управление оператором, силовые работы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Кабель, зависимость от судна/энергии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Глайдер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Длительный мониторинг океана и акваторий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Энергоэффективность, месяцы миссий, большие районы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Низкая скорость, ограниченная полезная нагрузка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Донная станция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Постоянный мониторинг среды и инфраструктуры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Долгие измерения, сеть датчиков, контроль изменений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Нужны установка, питание, связь, обслуживание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Гибрид AUV/ROV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Автономный переход + управляемая работа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Лучшее из двух классов, перспективная ниша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Сложность сертификации и архитектуры</w:t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03C64"/>
        </w:rPr>
        <w:t>4. Архитектура платформы СПЕЦЗАЩИТА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Проектный офис: формирует ТЗ, кооперацию, паспорт пилота, календарь испытаний, модели финансирования и валидации.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Инженерное ядро: конструкторские бюро, электроника, гидроакустика, программное обеспечение, материалы, испытания.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Судостроительный контур: суда-носители, док-станции, пуско-подъемные устройства, ремонтные мощности и сервис флота.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Данные и ИИ: цифровой двойник акватории, обработка сонаров, видеоаналитика, распознавание объектов, предиктивный ремонт.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Экологический контур: мониторинг воды, дна, биоты, загрязнений, донных отложений, динамики биоценозов.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Безопасность: обследование акваторий, подводный поиск, контроль портов и объектов, инженерная разведка.</w:t>
      </w:r>
    </w:p>
    <w:p>
      <w:pPr>
        <w:pStyle w:val="Heading1"/>
      </w:pPr>
      <w:r>
        <w:rPr>
          <w:rFonts w:ascii="Arial" w:hAnsi="Arial" w:eastAsia="Arial"/>
          <w:color w:val="003C64"/>
        </w:rPr>
        <w:t>5. Ключевые технологические модули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Модуль</w:t>
            </w:r>
          </w:p>
        </w:tc>
        <w:tc>
          <w:tcPr>
            <w:tcW w:type="dxa" w:w="5184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Корпус и плавучесть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титан/алюминий/композиты, синтактическая пена, гермоблоки, защита от давления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Движение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винтовые движители, векторная тяга, рули, крылья глайдера, энергоэффективность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Энергия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Li-ion/LiFePO4, BMS, док-зарядка, кабельное питание ROV, гибридные решения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Навигация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ИНС, DVL, USBL/LBL, акустические маяки, батиметрия, алгоритмы SLAM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Сенсоры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сонар бокового обзора, многолучевой эхолот, камеры, CTD, мутность, химия воды, магнитометр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Связь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кабель ROV, акустические модемы, оптическая связь, буй-ретранслятор, спутниковый канал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Манипуляторы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захваты, резаки, пробоотборники, щетки, инструменты инспекции и ремонта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b/>
                <w:sz w:val="18"/>
              </w:rPr>
              <w:t>ПО и ИИ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b w:val="0"/>
                <w:sz w:val="18"/>
              </w:rPr>
              <w:t>планирование миссий, распознавание объектов, 3D-реконструкция, отчеты, архив данных</w:t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03C64"/>
        </w:rPr>
        <w:t>6. Связка с судостроением, ОСК, ВТБ, Инмортранс и Океан 80</w:t>
      </w:r>
    </w:p>
    <w:p>
      <w:r>
        <w:t>Гидроробототехника должна быть встроена в судостроительный пакет СПЕЦЗАЩИТЫ как отдельная продуктовая линия вокруг судов-носителей, сервисных баз, портовой инфраструктуры и морских испытательных полигонов. В связке с ранее подготовленным контуром ОСК — ВТБ — Инмортранс — Океан 80 это направление может стать практическим пилотом: от проектирования аппаратов до серийного обслуживания акваторий.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ОСК: носители, верфи, ремонт, морская инженерия, интеграция робототехники в суда и порты.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ВТБ: проектное финансирование, лизинг, инвестиционная модель, контроль исполнения и активов.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СПЕЦЗАЩИТА: проектный офис, кооперация, реестр участников, пилоты, взаимодействие с заказчиками.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Инмортранс: научно-методический и транспортно-морской контур, регламенты и эксплуатационные модели.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Океан 80: пилотная эксплуатация, миссии в акваториях, обучение, демонстрационные проекты.</w:t>
      </w:r>
    </w:p>
    <w:p>
      <w:pPr>
        <w:pStyle w:val="Heading1"/>
      </w:pPr>
      <w:r>
        <w:rPr>
          <w:rFonts w:ascii="Arial" w:hAnsi="Arial" w:eastAsia="Arial"/>
          <w:color w:val="003C64"/>
        </w:rPr>
        <w:t>7. Пилотные программы</w:t>
      </w:r>
    </w:p>
    <w:p>
      <w:r>
        <w:rPr>
          <w:rFonts w:ascii="Arial" w:hAnsi="Arial"/>
          <w:b/>
          <w:color w:val="005078"/>
        </w:rPr>
        <w:t>Пилот 1. Инспекция портовой инфраструктуры</w:t>
      </w:r>
    </w:p>
    <w:p>
      <w:r>
        <w:t>ROV + сонар + видеоаналитика для причалов, гидротехнических сооружений, кабелей и трубопроводов.</w:t>
      </w:r>
    </w:p>
    <w:p>
      <w:r>
        <w:rPr>
          <w:rFonts w:ascii="Arial" w:hAnsi="Arial"/>
          <w:b/>
          <w:color w:val="005078"/>
        </w:rPr>
        <w:t>Пилот 2. Экологическая акватория</w:t>
      </w:r>
    </w:p>
    <w:p>
      <w:r>
        <w:t>AUV/глайдер + донные станции для мониторинга воды, донных отложений, биоценозов и загрязнений.</w:t>
      </w:r>
    </w:p>
    <w:p>
      <w:r>
        <w:rPr>
          <w:rFonts w:ascii="Arial" w:hAnsi="Arial"/>
          <w:b/>
          <w:color w:val="005078"/>
        </w:rPr>
        <w:t>Пилот 3. Судостроительный сервис</w:t>
      </w:r>
    </w:p>
    <w:p>
      <w:r>
        <w:t>Подводная инспекция корпусов судов, винто-рулевых групп, доков, причалов, подводных частей сооружений.</w:t>
      </w:r>
    </w:p>
    <w:p>
      <w:r>
        <w:rPr>
          <w:rFonts w:ascii="Arial" w:hAnsi="Arial"/>
          <w:b/>
          <w:color w:val="005078"/>
        </w:rPr>
        <w:t>Пилот 4. Поиск и безопасность</w:t>
      </w:r>
    </w:p>
    <w:p>
      <w:r>
        <w:t>Комплекс поиска объектов, обследования дна, контроля акваторий и сопровождения спасательных работ.</w:t>
      </w:r>
    </w:p>
    <w:p>
      <w:r>
        <w:rPr>
          <w:rFonts w:ascii="Arial" w:hAnsi="Arial"/>
          <w:b/>
          <w:color w:val="005078"/>
        </w:rPr>
        <w:t>Пилот 5. Материалы и покрытия</w:t>
      </w:r>
    </w:p>
    <w:p>
      <w:r>
        <w:t>Испытания корпусов, композитов, керамики, покрытий, герметиков, оптики и электроники в морской среде.</w:t>
      </w:r>
    </w:p>
    <w:p>
      <w:pPr>
        <w:pStyle w:val="Heading1"/>
      </w:pPr>
      <w:r>
        <w:rPr>
          <w:rFonts w:ascii="Arial" w:hAnsi="Arial" w:eastAsia="Arial"/>
          <w:color w:val="003C64"/>
        </w:rPr>
        <w:t>8. Дорожная карта 2026–2030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Результат</w:t>
            </w:r>
          </w:p>
        </w:tc>
        <w:tc>
          <w:tcPr>
            <w:tcW w:type="dxa" w:w="2592"/>
            <w:shd w:fill="0B4F71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Контрольная точка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0. Паспорт проекта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0–2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ТЗ, кооперация, смета, карта заказчиков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Утвержденный проектный паспорт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1. Демонстратор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3–6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ROV-инспектор + пакет сенсоров + отчетность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Полевое испытание в акватории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2. Полигон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6–12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Испытательная база, регламенты, обучение операторов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Первые 50 миссий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3. Линейка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12–24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AUV, ROV, глайдер, донная станция, сервис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Серийные опытные образцы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4. Масштабирование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24–48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Региональные центры, лизинг, сервисные контракты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10+ акваторий/портов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5. Экспорт и стандарты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36–60 мес.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Стандарты, реестр, международные проекты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b w:val="0"/>
                <w:sz w:val="18"/>
              </w:rPr>
              <w:t>Сертификация и экспортный пакет</w:t>
            </w:r>
          </w:p>
        </w:tc>
      </w:tr>
    </w:tbl>
    <w:p>
      <w:pPr>
        <w:pStyle w:val="Heading1"/>
      </w:pPr>
      <w:r>
        <w:rPr>
          <w:rFonts w:ascii="Arial" w:hAnsi="Arial" w:eastAsia="Arial"/>
          <w:color w:val="003C64"/>
        </w:rPr>
        <w:t>9. KPI и эффекты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Технические KPI: глубина, автономность, точность позиционирования, устойчивость связи, качество сонарных данных, процент успешных миссий.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Экономические KPI: стоимость одной миссии, снижение затрат на водолазные работы, доля отечественных компонентов, выручка сервисных контрактов.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Экологические KPI: частота мониторинга, покрытие акваторий, скорость выявления загрязнений, полнота цифрового архива наблюдений.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Безопасность: сокращение времени поиска, повышение контроля портов и подводных объектов, снижение рисков для людей.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Судостроение: новая продуктовая линейка, загрузка верфей и КБ, сервисный рынок жизненного цикла.</w:t>
      </w:r>
    </w:p>
    <w:p>
      <w:pPr>
        <w:pStyle w:val="Heading1"/>
      </w:pPr>
      <w:r>
        <w:rPr>
          <w:rFonts w:ascii="Arial" w:hAnsi="Arial" w:eastAsia="Arial"/>
          <w:color w:val="003C64"/>
        </w:rPr>
        <w:t>10. Что надо сделать немедленно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Назначить головной проектный офис и технического интегратора.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Собрать реестр российских и дружественных компетенций: КБ, электроника, гидроакустика, материалы, софт, верфи, полигоны.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Выбрать 2–3 стартовые акватории для демонстраций: порт, судостроительный объект, экологический полигон.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Подготовить линейку ТЗ: ROV-инспектор, AUV-картограф, глайдер-монитор, донная станция, центр данных.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Сформировать финансовую схему: грант/ОКР, лизинг, сервисные контракты, промышленный консорциум.</w:t>
      </w:r>
    </w:p>
    <w:p>
      <w:pPr>
        <w:pStyle w:val="ListBullet"/>
        <w:spacing w:after="40"/>
      </w:pPr>
      <w:r>
        <w:rPr>
          <w:rFonts w:ascii="Arial" w:hAnsi="Arial" w:eastAsia="Arial"/>
          <w:sz w:val="21"/>
        </w:rPr>
        <w:t>Встроить гидроробототехнику в пакет СПЕЦЗАЩИТА — Судостроение как отдельную программу.</w:t>
      </w:r>
    </w:p>
    <w:p>
      <w:pPr>
        <w:pStyle w:val="Heading1"/>
      </w:pPr>
      <w:r>
        <w:rPr>
          <w:rFonts w:ascii="Arial" w:hAnsi="Arial" w:eastAsia="Arial"/>
          <w:color w:val="003C64"/>
        </w:rPr>
        <w:t>11. Источники и ориентиры для проверки</w:t>
      </w:r>
    </w:p>
    <w:p>
      <w:pPr>
        <w:pStyle w:val="ListNumber"/>
      </w:pPr>
      <w:r>
        <w:rPr>
          <w:sz w:val="17"/>
        </w:rPr>
        <w:t>WHOI: Autonomous Underwater Vehicles — обзор классов AUV и примеров применения. https://www.whoi.edu/what-we-do/explore/underwater-vehicles/auvs/</w:t>
      </w:r>
    </w:p>
    <w:p>
      <w:pPr>
        <w:pStyle w:val="ListNumber"/>
      </w:pPr>
      <w:r>
        <w:rPr>
          <w:sz w:val="17"/>
        </w:rPr>
        <w:t>WHOI: AUV Sentry — глубина до 6000 м, миссии картографии и съемки морского дна. https://www.whoi.edu/oceanrobots/robots/sentry-phone.html</w:t>
      </w:r>
    </w:p>
    <w:p>
      <w:pPr>
        <w:pStyle w:val="ListNumber"/>
      </w:pPr>
      <w:r>
        <w:rPr>
          <w:sz w:val="17"/>
        </w:rPr>
        <w:t>WHOI: Nereid Under Ice — гибрид ROV/AUV и микрооптоволоконный кабель. https://www.whoi.edu/what-we-do/explore/underwater-vehicles/hybrid-vehicles/nereid-under-ice/</w:t>
      </w:r>
    </w:p>
    <w:p>
      <w:pPr>
        <w:pStyle w:val="ListNumber"/>
      </w:pPr>
      <w:r>
        <w:rPr>
          <w:sz w:val="17"/>
        </w:rPr>
        <w:t>NOAA Ocean Exploration: технологии ROV, манипуляторы, инструменты отбора проб. https://oceanexplorer.noaa.gov/explainers/technology/</w:t>
      </w:r>
    </w:p>
    <w:p>
      <w:pPr>
        <w:pStyle w:val="ListNumber"/>
      </w:pPr>
      <w:r>
        <w:rPr>
          <w:sz w:val="17"/>
        </w:rPr>
        <w:t>Rostec, 2025: телеметрические системы для подводных роботов разминирования. https://www.rostec.ru/en/media/news/rostec-has-supplied-a-batch-of-telemetry-systems-for-underwater-demining-robots/</w:t>
      </w:r>
    </w:p>
    <w:p>
      <w:pPr>
        <w:pStyle w:val="ListNumber"/>
      </w:pPr>
      <w:r>
        <w:rPr>
          <w:sz w:val="17"/>
        </w:rPr>
        <w:t>Минтранс РФ, 2025: ОСК и обновление дноуглубительного флота. https://www.mintrans.gov.ru/press-center/branch-news/6256</w:t>
      </w:r>
    </w:p>
    <w:p>
      <w:pPr>
        <w:pStyle w:val="ListNumber"/>
      </w:pPr>
      <w:r>
        <w:rPr>
          <w:sz w:val="17"/>
        </w:rPr>
        <w:t>DOAJ, 2025: Structural-parametric synthesis of AUV for mineral resources complex. https://doaj.org/article/50d3c9f427204778a5c0188d09060b03</w:t>
      </w:r>
    </w:p>
    <w:p>
      <w:pPr>
        <w:pStyle w:val="ListNumber"/>
      </w:pPr>
      <w:r>
        <w:rPr>
          <w:sz w:val="17"/>
        </w:rPr>
        <w:t>TrackDyne: USBL/LBL, акустические модемы и подводная связь как технологический ориентир. https://www.trackdyne.com/</w:t>
      </w:r>
    </w:p>
    <w:sectPr w:rsidR="00FC693F" w:rsidRPr="0006063C" w:rsidSect="00034616">
      <w:pgSz w:w="12240" w:h="15840"/>
      <w:pgMar w:top="864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