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spacing w:before="1440"/>
        <w:jc w:val="center"/>
      </w:pPr>
      <w:r>
        <w:rPr>
          <w:rFonts w:ascii="Aptos" w:hAnsi="Aptos" w:eastAsia="Aptos"/>
          <w:b/>
          <w:color w:val="3AA6C1"/>
          <w:sz w:val="20"/>
        </w:rPr>
        <w:t>ГЛОБАЛЬНАЯ АЭРОКОСМИЧЕСКАЯ СИСТЕМА</w:t>
      </w:r>
    </w:p>
    <w:p>
      <w:pPr>
        <w:pStyle w:val="Title"/>
        <w:jc w:val="center"/>
      </w:pPr>
      <w:r>
        <w:rPr>
          <w:rFonts w:ascii="Aptos Display" w:hAnsi="Aptos Display" w:eastAsia="Aptos Display"/>
          <w:b/>
          <w:color w:val="102A43"/>
          <w:sz w:val="62"/>
        </w:rPr>
        <w:t>ГАСМП</w:t>
        <w:br/>
        <w:t>«ЭКВИЛИБРИУМ»</w:t>
      </w:r>
    </w:p>
    <w:p>
      <w:pPr>
        <w:pStyle w:val="Subtitle"/>
        <w:jc w:val="center"/>
      </w:pPr>
      <w:r>
        <w:rPr>
          <w:rFonts w:ascii="Aptos Display" w:hAnsi="Aptos Display" w:eastAsia="Aptos Display"/>
          <w:b w:val="0"/>
          <w:color w:val="1769AA"/>
          <w:sz w:val="30"/>
        </w:rPr>
        <w:t>Планетарная система мониторинга, прогнозирования</w:t>
        <w:br/>
        <w:t>и раннего предупреждения</w:t>
      </w:r>
    </w:p>
    <w:p>
      <w:pPr>
        <w:spacing w:before="520"/>
        <w:jc w:val="center"/>
      </w:pPr>
      <w:r>
        <w:rPr>
          <w:rFonts w:ascii="Aptos" w:hAnsi="Aptos" w:eastAsia="Aptos"/>
          <w:b/>
          <w:color w:val="C99A2E"/>
          <w:sz w:val="20"/>
        </w:rPr>
        <w:t>ЗЕМЛЯ  •  ЧЕЛОВЕК  •  БУДУЩИЕ ПОКОЛЕНИЯ</w:t>
      </w:r>
    </w:p>
    <w:p>
      <w:pPr>
        <w:spacing w:before="1400"/>
        <w:jc w:val="center"/>
      </w:pPr>
      <w:r>
        <w:rPr>
          <w:rFonts w:ascii="Aptos" w:hAnsi="Aptos" w:eastAsia="Aptos"/>
          <w:b/>
          <w:color w:val="102A43"/>
          <w:sz w:val="22"/>
        </w:rPr>
        <w:t>Стратегическая концепция</w:t>
        <w:br/>
        <w:t>Версия 1.0</w:t>
      </w:r>
    </w:p>
    <w:p>
      <w:pPr>
        <w:spacing w:before="800"/>
        <w:jc w:val="center"/>
      </w:pPr>
      <w:r>
        <w:rPr>
          <w:rFonts w:ascii="Aptos" w:hAnsi="Aptos" w:eastAsia="Aptos"/>
          <w:b/>
          <w:color w:val="627D98"/>
          <w:sz w:val="20"/>
        </w:rPr>
        <w:t>ЭКВИЛИБРИУМ — СФЕРА — ECO-PPA — СПЕЦЗАЩИТА</w:t>
      </w:r>
    </w:p>
    <w:p>
      <w:r>
        <w:br w:type="page"/>
      </w:r>
    </w:p>
    <w:p>
      <w:pPr>
        <w:pStyle w:val="Heading1"/>
        <w:keepNext/>
      </w:pPr>
      <w:r>
        <w:t>Паспорт концепции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400"/>
      </w:tblGrid>
      <w:tr>
        <w:trPr>
          <w:tblHeader w:val="true"/>
        </w:trPr>
        <w:tc>
          <w:tcPr>
            <w:tcW w:type="dxa" w:w="2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7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Наименование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Глобальная аэрокосмическая система мониторинга и прогнозирования «ЭКВИЛИБРИУМ»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Краткое обозначение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ГАСМП «ЭКВИЛИБРИУМ»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Назначение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Раннее выявление планетарных, природных, техногенных, биологических и космических угроз; прогнозирование их развития; координация предупреждения и реагирования.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Масштаб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Локальный → муниципальный → региональный → национальный → трансграничный → планетарный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Базовый принцип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Увидеть раньше. Понять точнее. Предупредить вовремя. Действовать сообща. Восстановить равновесие.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Целевые пользователи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Государства, международные организации, научные центры, службы реагирования, компании, территории и граждане.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Статус документа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Концептуальная основа. Технические, правовые и финансовые параметры подлежат верификации в ходе предпроектной стадии.</w:t>
            </w:r>
          </w:p>
        </w:tc>
      </w:tr>
    </w:tbl>
    <w:p>
      <w:pPr>
        <w:spacing w:after="20"/>
      </w:pPr>
    </w:p>
    <w:p>
      <w:pPr>
        <w:pStyle w:val="Callout"/>
        <w:spacing w:before="160" w:after="160"/>
        <w:shd w:fill="DCEFF8"/>
        <w:pBdr>
          <w:top w:val="single" w:sz="10" w:color="3AA6C1" w:space="5"/>
          <w:left w:val="single" w:sz="10" w:color="3AA6C1" w:space="5"/>
          <w:bottom w:val="single" w:sz="10" w:color="3AA6C1" w:space="5"/>
          <w:right w:val="single" w:sz="10" w:color="3AA6C1" w:space="5"/>
        </w:pBdr>
      </w:pPr>
      <w:r>
        <w:rPr>
          <w:rFonts w:ascii="Aptos" w:hAnsi="Aptos" w:eastAsia="Aptos"/>
          <w:b/>
          <w:color w:val="1769AA"/>
          <w:sz w:val="21"/>
        </w:rPr>
        <w:t xml:space="preserve">ОПРЕДЕЛЕНИЕ  </w:t>
      </w:r>
      <w:r>
        <w:rPr>
          <w:rFonts w:ascii="Aptos" w:hAnsi="Aptos" w:eastAsia="Aptos"/>
          <w:b w:val="0"/>
          <w:color w:val="102A43"/>
          <w:sz w:val="21"/>
        </w:rPr>
        <w:t>ГАСМП «ЭКВИЛИБРИУМ» — планетарная система раннего предупреждения, объединяющая аэрокосмическое наблюдение, искусственный интеллект, научное прогнозирование и международную кооперацию для защиты Земли, человека и будущих поколений.</w:t>
      </w:r>
    </w:p>
    <w:p>
      <w:r>
        <w:br w:type="page"/>
      </w:r>
    </w:p>
    <w:p>
      <w:pPr>
        <w:pStyle w:val="Heading1"/>
        <w:keepNext/>
      </w:pPr>
      <w:r>
        <w:t>Исполнительное резюме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Мир располагает тысячами спутников, сенсоров, научных моделей и ведомственных платформ, но эти ресурсы остаются разделёнными по странам, отраслям и типам угроз. ГАСМП «ЭКВИЛИБРИУМ» формирует надсистему совместимости: не заменяет национальные системы, а соединяет их через единые протоколы доверия, валидации и реагирования.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Центральный результат — непрерывный цифровой контур «наблюдение → распознавание → прогноз → предупреждение → мобилизация ресурсов → действие → восстановление → подтверждённый результат». Система превращает разрозненные данные в проверяемые сценарии и конкретные управленческие решения.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500"/>
      </w:tblGrid>
      <w:tr>
        <w:trPr>
          <w:tblHeader w:val="true"/>
        </w:trPr>
        <w:tc>
          <w:tcPr>
            <w:tcW w:type="dxa" w:w="31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Стратегический эффект</w:t>
            </w:r>
          </w:p>
        </w:tc>
        <w:tc>
          <w:tcPr>
            <w:tcW w:type="dxa" w:w="65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Практический результат</w:t>
            </w:r>
          </w:p>
        </w:tc>
      </w:tr>
      <w:tr>
        <w:tc>
          <w:tcPr>
            <w:tcW w:type="dxa" w:w="3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Переход от реакции к предупреждению</w:t>
            </w:r>
          </w:p>
        </w:tc>
        <w:tc>
          <w:tcPr>
            <w:tcW w:type="dxa" w:w="6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Сокращение времени обнаружения угроз и стоимости последствий.</w:t>
            </w:r>
          </w:p>
        </w:tc>
      </w:tr>
      <w:tr>
        <w:tc>
          <w:tcPr>
            <w:tcW w:type="dxa" w:w="31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Единая картина планеты</w:t>
            </w:r>
          </w:p>
        </w:tc>
        <w:tc>
          <w:tcPr>
            <w:tcW w:type="dxa" w:w="6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Совместимый цифровой двойник Земли и околоземного пространства.</w:t>
            </w:r>
          </w:p>
        </w:tc>
      </w:tr>
      <w:tr>
        <w:tc>
          <w:tcPr>
            <w:tcW w:type="dxa" w:w="3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Научная доказательность</w:t>
            </w:r>
          </w:p>
        </w:tc>
        <w:tc>
          <w:tcPr>
            <w:tcW w:type="dxa" w:w="6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Прослеживаемость данных, моделей, прогнозов и решений.</w:t>
            </w:r>
          </w:p>
        </w:tc>
      </w:tr>
      <w:tr>
        <w:tc>
          <w:tcPr>
            <w:tcW w:type="dxa" w:w="31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Суверенная кооперация</w:t>
            </w:r>
          </w:p>
        </w:tc>
        <w:tc>
          <w:tcPr>
            <w:tcW w:type="dxa" w:w="6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Обмен необходимыми показателями без утраты контроля над исходными данными.</w:t>
            </w:r>
          </w:p>
        </w:tc>
      </w:tr>
      <w:tr>
        <w:tc>
          <w:tcPr>
            <w:tcW w:type="dxa" w:w="3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Исполнительность</w:t>
            </w:r>
          </w:p>
        </w:tc>
        <w:tc>
          <w:tcPr>
            <w:tcW w:type="dxa" w:w="6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Автоматическая связка прогноза с ответственными, ресурсами и планом действий.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Основания для создания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Современные угрозы развиваются быстрее административных циклов и редко ограничиваются одной отраслью или границей. Климатические аномалии влияют на воду, урожай, миграцию и энергетику; космическая погода — на связь, навигацию и энергосети; техногенные аварии — на экосистемы и здоровье населения.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Фрагментарность наблюдений и несовместимость ведомственных данных.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Недостаточная связка между научным прогнозом и управленческим действием.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Позднее обнаружение слабых сигналов и каскадных рисков.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Отсутствие единой системы доверия к источникам, моделям и предупреждениям.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Разрыв между оценкой угрозы, мобилизацией ресурсов и контролем результата.</w:t>
      </w:r>
    </w:p>
    <w:p>
      <w:pPr>
        <w:pStyle w:val="Callout"/>
        <w:spacing w:before="160" w:after="160"/>
        <w:shd w:fill="DCEFF8"/>
        <w:pBdr>
          <w:top w:val="single" w:sz="10" w:color="3AA6C1" w:space="5"/>
          <w:left w:val="single" w:sz="10" w:color="3AA6C1" w:space="5"/>
          <w:bottom w:val="single" w:sz="10" w:color="3AA6C1" w:space="5"/>
          <w:right w:val="single" w:sz="10" w:color="3AA6C1" w:space="5"/>
        </w:pBdr>
      </w:pPr>
      <w:r>
        <w:rPr>
          <w:rFonts w:ascii="Aptos" w:hAnsi="Aptos" w:eastAsia="Aptos"/>
          <w:b/>
          <w:color w:val="1769AA"/>
          <w:sz w:val="21"/>
        </w:rPr>
        <w:t xml:space="preserve">СТРАТЕГИЧЕСКИЙ ПЕРЕХОД  </w:t>
      </w:r>
      <w:r>
        <w:rPr>
          <w:rFonts w:ascii="Aptos" w:hAnsi="Aptos" w:eastAsia="Aptos"/>
          <w:b w:val="0"/>
          <w:color w:val="102A43"/>
          <w:sz w:val="21"/>
        </w:rPr>
        <w:t>От каталогизации происшествий — к управлению вероятностями; от отдельных датчиков — к целостному наблюдению; от ведомственной реакции — к межсистемной кооперации.</w:t>
      </w:r>
    </w:p>
    <w:p>
      <w:pPr>
        <w:pStyle w:val="Heading1"/>
        <w:keepNext/>
      </w:pPr>
      <w:r>
        <w:t>2. Миссия, цель и принципы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Миссия. Сохранение планетарного равновесия посредством своевременного знания, коллективного разума и согласованных действий.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Цель. Создание доверенной глобальной инфраструктуры, способной непрерывно оценивать состояние Земли и околоземного пространства, предупреждать о развивающихся угрозах и запускать измеримые превентивные меры.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400"/>
      </w:tblGrid>
      <w:tr>
        <w:trPr>
          <w:tblHeader w:val="true"/>
        </w:trPr>
        <w:tc>
          <w:tcPr>
            <w:tcW w:type="dxa" w:w="2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Принцип</w:t>
            </w:r>
          </w:p>
        </w:tc>
        <w:tc>
          <w:tcPr>
            <w:tcW w:type="dxa" w:w="7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Превентивность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Приоритет предупреждения над ликвидацией последствий.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Целостность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Совместный анализ природы, техносферы, человека и космоса.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Научность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Верифицируемые данные, модели и оценка неопределённости.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Суверенность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Контроль владельца над исходными данными и режимами доступа.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Федеративность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Связность без обязательной централизации всех массивов.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Ответственность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У каждого сигнала есть владелец, срок, действие и результат.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Этичность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Защита прав человека, недопущение дискриминации и злоупотреблений.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3. Объекты мониторинга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400"/>
      </w:tblGrid>
      <w:tr>
        <w:trPr>
          <w:tblHeader w:val="true"/>
        </w:trPr>
        <w:tc>
          <w:tcPr>
            <w:tcW w:type="dxa" w:w="2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7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Ключевые объекты и явления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Атмосфера и климат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Температура, осадки, аэрозоли, парниковые газы, циклоны, засухи, пожароопасность.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Гидросфера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Океаны, реки, водохранилища, ледники, паводки, качество и доступность воды.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Литосфера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Землетрясения, вулканы, оползни, карст, просадки, деформация сооружений.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Биосфера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Леса, почвы, биоразнообразие, состояние биоценозов, болезни растений и животных.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Техносфера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Энергетика, промышленность, транспорт, плотины, трубопроводы, критическая инфраструктура.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Гуманитарный контур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Эпидемии, продовольственные и водные риски, миграция, доступность помощи.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Околоземный космос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Солнечная активность, радиация, космический мусор, опасные сближения, астероиды.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Многоуровневая система наблюдения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3600"/>
        <w:gridCol w:w="4400"/>
      </w:tblGrid>
      <w:tr>
        <w:trPr>
          <w:tblHeader w:val="true"/>
        </w:trPr>
        <w:tc>
          <w:tcPr>
            <w:tcW w:type="dxa" w:w="16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36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Средства</w:t>
            </w:r>
          </w:p>
        </w:tc>
        <w:tc>
          <w:tcPr>
            <w:tcW w:type="dxa" w:w="4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Назначение</w:t>
            </w:r>
          </w:p>
        </w:tc>
      </w:tr>
      <w:tr>
        <w:tc>
          <w:tcPr>
            <w:tcW w:type="dxa" w:w="1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Космический</w:t>
            </w:r>
          </w:p>
        </w:tc>
        <w:tc>
          <w:tcPr>
            <w:tcW w:type="dxa" w:w="3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Спутники ДЗЗ, метеоаппараты, оптические и радиолокационные системы</w:t>
            </w:r>
          </w:p>
        </w:tc>
        <w:tc>
          <w:tcPr>
            <w:tcW w:type="dxa" w:w="4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Глобальный обзор и долговременные ряды.</w:t>
            </w:r>
          </w:p>
        </w:tc>
      </w:tr>
      <w:tr>
        <w:tc>
          <w:tcPr>
            <w:tcW w:type="dxa" w:w="1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Стратосферный</w:t>
            </w:r>
          </w:p>
        </w:tc>
        <w:tc>
          <w:tcPr>
            <w:tcW w:type="dxa" w:w="3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Аэростаты, высотные БПЛА, псевдоспутники</w:t>
            </w:r>
          </w:p>
        </w:tc>
        <w:tc>
          <w:tcPr>
            <w:tcW w:type="dxa" w:w="4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Длительное региональное наблюдение.</w:t>
            </w:r>
          </w:p>
        </w:tc>
      </w:tr>
      <w:tr>
        <w:tc>
          <w:tcPr>
            <w:tcW w:type="dxa" w:w="1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Авиационный</w:t>
            </w:r>
          </w:p>
        </w:tc>
        <w:tc>
          <w:tcPr>
            <w:tcW w:type="dxa" w:w="3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Самолёты-лаборатории, БПЛА, вертолёты</w:t>
            </w:r>
          </w:p>
        </w:tc>
        <w:tc>
          <w:tcPr>
            <w:tcW w:type="dxa" w:w="4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Детализация и оперативная разведка.</w:t>
            </w:r>
          </w:p>
        </w:tc>
      </w:tr>
      <w:tr>
        <w:tc>
          <w:tcPr>
            <w:tcW w:type="dxa" w:w="1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Морской</w:t>
            </w:r>
          </w:p>
        </w:tc>
        <w:tc>
          <w:tcPr>
            <w:tcW w:type="dxa" w:w="3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Буи, суда, подводные станции и автономные аппараты</w:t>
            </w:r>
          </w:p>
        </w:tc>
        <w:tc>
          <w:tcPr>
            <w:tcW w:type="dxa" w:w="4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Океаны, моря, шельф и подводная среда.</w:t>
            </w:r>
          </w:p>
        </w:tc>
      </w:tr>
      <w:tr>
        <w:tc>
          <w:tcPr>
            <w:tcW w:type="dxa" w:w="1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Наземный</w:t>
            </w:r>
          </w:p>
        </w:tc>
        <w:tc>
          <w:tcPr>
            <w:tcW w:type="dxa" w:w="3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Радары, станции, сейсмосети, IoT-датчики</w:t>
            </w:r>
          </w:p>
        </w:tc>
        <w:tc>
          <w:tcPr>
            <w:tcW w:type="dxa" w:w="4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Непрерывное локальное измерение.</w:t>
            </w:r>
          </w:p>
        </w:tc>
      </w:tr>
      <w:tr>
        <w:tc>
          <w:tcPr>
            <w:tcW w:type="dxa" w:w="1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Биосферный</w:t>
            </w:r>
          </w:p>
        </w:tc>
        <w:tc>
          <w:tcPr>
            <w:tcW w:type="dxa" w:w="3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Биоценозные точки мониторинга</w:t>
            </w:r>
          </w:p>
        </w:tc>
        <w:tc>
          <w:tcPr>
            <w:tcW w:type="dxa" w:w="4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Наблюдение экосистем как живых комплексов.</w:t>
            </w:r>
          </w:p>
        </w:tc>
      </w:tr>
      <w:tr>
        <w:tc>
          <w:tcPr>
            <w:tcW w:type="dxa" w:w="1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Социальный</w:t>
            </w:r>
          </w:p>
        </w:tc>
        <w:tc>
          <w:tcPr>
            <w:tcW w:type="dxa" w:w="3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Реестры, обращения, статистика, диспетчерские системы</w:t>
            </w:r>
          </w:p>
        </w:tc>
        <w:tc>
          <w:tcPr>
            <w:tcW w:type="dxa" w:w="4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Оценка уязвимости и потребности в помощи.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5. Интеллектуальное ядро ЭКВИЛИБРИУМ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Интеллектуальное ядро объединяет пространственно-временные данные, цифровые двойники, физические модели, машинное обучение и экспертное знание. Оно не подменяет специалиста: рекомендации сопровождаются источниками, оценкой уверенности и объяснением факторов.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Сбор и нормализация потоков данных.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Обнаружение аномалий и слабых сигналов.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Распознавание причинно-следственных и каскадных связей.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Моделирование сценариев и цифровых экспериментов.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Оценка вероятности, масштаба, горизонта и ожидаемого ущерба.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Формирование предупреждений и наборов превентивных мер.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Обратная связь по фактическому исходу и дообучение моделей.</w:t>
      </w:r>
    </w:p>
    <w:p>
      <w:pPr>
        <w:pStyle w:val="Callout"/>
        <w:spacing w:before="160" w:after="160"/>
        <w:shd w:fill="DCEFF8"/>
        <w:pBdr>
          <w:top w:val="single" w:sz="10" w:color="3AA6C1" w:space="5"/>
          <w:left w:val="single" w:sz="10" w:color="3AA6C1" w:space="5"/>
          <w:bottom w:val="single" w:sz="10" w:color="3AA6C1" w:space="5"/>
          <w:right w:val="single" w:sz="10" w:color="3AA6C1" w:space="5"/>
        </w:pBdr>
      </w:pPr>
      <w:r>
        <w:rPr>
          <w:rFonts w:ascii="Aptos" w:hAnsi="Aptos" w:eastAsia="Aptos"/>
          <w:b/>
          <w:color w:val="1769AA"/>
          <w:sz w:val="21"/>
        </w:rPr>
        <w:t xml:space="preserve">ФОРМУЛА ПРОГНОЗА  </w:t>
      </w:r>
      <w:r>
        <w:rPr>
          <w:rFonts w:ascii="Aptos" w:hAnsi="Aptos" w:eastAsia="Aptos"/>
          <w:b w:val="0"/>
          <w:color w:val="102A43"/>
          <w:sz w:val="21"/>
        </w:rPr>
        <w:t>Событие + вероятность + горизонт + территория + масштаб воздействия + доверительный интервал + источники данных + рекомендуемое действие.</w:t>
      </w:r>
    </w:p>
    <w:p>
      <w:pPr>
        <w:pStyle w:val="Heading1"/>
        <w:keepNext/>
      </w:pPr>
      <w:r>
        <w:t>6. Цифровой двойник Земли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Цифровой двойник Земли — динамическая модель состояния природных, инфраструктурных и общественных систем. Он строится как федерация национальных и отраслевых двойников, связанных едиными метаданными и временно-пространственной привязкой.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400"/>
      </w:tblGrid>
      <w:tr>
        <w:trPr>
          <w:tblHeader w:val="true"/>
        </w:trPr>
        <w:tc>
          <w:tcPr>
            <w:tcW w:type="dxa" w:w="2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Слой</w:t>
            </w:r>
          </w:p>
        </w:tc>
        <w:tc>
          <w:tcPr>
            <w:tcW w:type="dxa" w:w="7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Геофизический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Рельеф, геология, сейсмика, гидрология, атмосфера.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Экологический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Биоценозы, экосистемные услуги, загрязнение, природный капитал.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Инфраструктурный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Энергетика, транспорт, связь, промышленность, социальные объекты.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Ресурсный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Вода, продовольствие, сырьё, резервы, мощности реагирования.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Сценарный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История событий, прогнозные ветви, последствия решений.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Управленческий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Ответственные, регламенты, ресурсы, статус исполнения.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7. Горизонты и сценарии прогнозирования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200"/>
        <w:gridCol w:w="5200"/>
      </w:tblGrid>
      <w:tr>
        <w:trPr>
          <w:tblHeader w:val="true"/>
        </w:trPr>
        <w:tc>
          <w:tcPr>
            <w:tcW w:type="dxa" w:w="2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Горизонт</w:t>
            </w:r>
          </w:p>
        </w:tc>
        <w:tc>
          <w:tcPr>
            <w:tcW w:type="dxa" w:w="2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5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Основные решения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Оперативный</w:t>
            </w:r>
          </w:p>
        </w:tc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Минуты — 72 часа</w:t>
            </w:r>
          </w:p>
        </w:tc>
        <w:tc>
          <w:tcPr>
            <w:tcW w:type="dxa" w:w="5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Оповещение, эвакуация, локализация, защита инфраструктуры.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Краткосрочный</w:t>
            </w:r>
          </w:p>
        </w:tc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3–30 суток</w:t>
            </w:r>
          </w:p>
        </w:tc>
        <w:tc>
          <w:tcPr>
            <w:tcW w:type="dxa" w:w="5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Перераспределение ресурсов, режимы готовности, логистика.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Среднесрочный</w:t>
            </w:r>
          </w:p>
        </w:tc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1–12 месяцев</w:t>
            </w:r>
          </w:p>
        </w:tc>
        <w:tc>
          <w:tcPr>
            <w:tcW w:type="dxa" w:w="5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Посевные решения, водный и энергетический баланс, профилактика.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Стратегический</w:t>
            </w:r>
          </w:p>
        </w:tc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1–10 лет</w:t>
            </w:r>
          </w:p>
        </w:tc>
        <w:tc>
          <w:tcPr>
            <w:tcW w:type="dxa" w:w="5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Инфраструктурные инвестиции, адаптация территорий, стандарты.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Цивилизационный</w:t>
            </w:r>
          </w:p>
        </w:tc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10–100 лет</w:t>
            </w:r>
          </w:p>
        </w:tc>
        <w:tc>
          <w:tcPr>
            <w:tcW w:type="dxa" w:w="5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Сценарии расселения, климата, ресурсов и планетарной устойчивости.</w:t>
            </w:r>
          </w:p>
        </w:tc>
      </w:tr>
    </w:tbl>
    <w:p>
      <w:pPr>
        <w:spacing w:after="20"/>
      </w:pP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Для каждого значимого риска формируются как минимум пять ветвей: инерционная, неблагоприятная, критическая, управляемая и целевая восстановительная. Ветви пересчитываются при поступлении новых данных.</w:t>
      </w:r>
    </w:p>
    <w:p>
      <w:pPr>
        <w:pStyle w:val="Heading1"/>
        <w:keepNext/>
      </w:pPr>
      <w:r>
        <w:t>8. Контур раннего предупреждения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500"/>
        <w:gridCol w:w="4300"/>
      </w:tblGrid>
      <w:tr>
        <w:trPr>
          <w:tblHeader w:val="true"/>
        </w:trPr>
        <w:tc>
          <w:tcPr>
            <w:tcW w:type="dxa" w:w="18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Стадия</w:t>
            </w:r>
          </w:p>
        </w:tc>
        <w:tc>
          <w:tcPr>
            <w:tcW w:type="dxa" w:w="35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43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Ответственный контур</w:t>
            </w:r>
          </w:p>
        </w:tc>
      </w:tr>
      <w:tr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1. Наблюдение</w:t>
            </w:r>
          </w:p>
        </w:tc>
        <w:tc>
          <w:tcPr>
            <w:tcW w:type="dxa" w:w="3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Потоки измерений и сообщений</w:t>
            </w:r>
          </w:p>
        </w:tc>
        <w:tc>
          <w:tcPr>
            <w:tcW w:type="dxa" w:w="43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Операторы данных и сенсорные сети.</w:t>
            </w:r>
          </w:p>
        </w:tc>
      </w:tr>
      <w:tr>
        <w:tc>
          <w:tcPr>
            <w:tcW w:type="dxa" w:w="1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2. Выявление</w:t>
            </w:r>
          </w:p>
        </w:tc>
        <w:tc>
          <w:tcPr>
            <w:tcW w:type="dxa" w:w="3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Аномалия или слабый сигнал</w:t>
            </w:r>
          </w:p>
        </w:tc>
        <w:tc>
          <w:tcPr>
            <w:tcW w:type="dxa" w:w="43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ИИ-ядро и аналитические центры.</w:t>
            </w:r>
          </w:p>
        </w:tc>
      </w:tr>
      <w:tr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3. Верификация</w:t>
            </w:r>
          </w:p>
        </w:tc>
        <w:tc>
          <w:tcPr>
            <w:tcW w:type="dxa" w:w="3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Подтверждённая оценка и неопределённость</w:t>
            </w:r>
          </w:p>
        </w:tc>
        <w:tc>
          <w:tcPr>
            <w:tcW w:type="dxa" w:w="43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Научные и аккредитованные центры.</w:t>
            </w:r>
          </w:p>
        </w:tc>
      </w:tr>
      <w:tr>
        <w:tc>
          <w:tcPr>
            <w:tcW w:type="dxa" w:w="1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4. Предупреждение</w:t>
            </w:r>
          </w:p>
        </w:tc>
        <w:tc>
          <w:tcPr>
            <w:tcW w:type="dxa" w:w="3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Адресное сообщение с приоритетом</w:t>
            </w:r>
          </w:p>
        </w:tc>
        <w:tc>
          <w:tcPr>
            <w:tcW w:type="dxa" w:w="43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Ситуационные центры.</w:t>
            </w:r>
          </w:p>
        </w:tc>
      </w:tr>
      <w:tr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5. Решение</w:t>
            </w:r>
          </w:p>
        </w:tc>
        <w:tc>
          <w:tcPr>
            <w:tcW w:type="dxa" w:w="3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Выбранный сценарий и план действий</w:t>
            </w:r>
          </w:p>
        </w:tc>
        <w:tc>
          <w:tcPr>
            <w:tcW w:type="dxa" w:w="43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Уполномоченный орган.</w:t>
            </w:r>
          </w:p>
        </w:tc>
      </w:tr>
      <w:tr>
        <w:tc>
          <w:tcPr>
            <w:tcW w:type="dxa" w:w="1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6. Исполнение</w:t>
            </w:r>
          </w:p>
        </w:tc>
        <w:tc>
          <w:tcPr>
            <w:tcW w:type="dxa" w:w="3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Мобилизованные силы и ресурсы</w:t>
            </w:r>
          </w:p>
        </w:tc>
        <w:tc>
          <w:tcPr>
            <w:tcW w:type="dxa" w:w="43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ECO-PPA и СПЕЦЗАЩИТА.</w:t>
            </w:r>
          </w:p>
        </w:tc>
      </w:tr>
      <w:tr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7. Контроль</w:t>
            </w:r>
          </w:p>
        </w:tc>
        <w:tc>
          <w:tcPr>
            <w:tcW w:type="dxa" w:w="3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Измеримый эффект и уроки</w:t>
            </w:r>
          </w:p>
        </w:tc>
        <w:tc>
          <w:tcPr>
            <w:tcW w:type="dxa" w:w="43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ЭКВИЛИБРИУМ и независимая валидация.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9. Уровни угроз и протоколы действий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400"/>
        <w:gridCol w:w="3400"/>
      </w:tblGrid>
      <w:tr>
        <w:trPr>
          <w:tblHeader w:val="true"/>
        </w:trPr>
        <w:tc>
          <w:tcPr>
            <w:tcW w:type="dxa" w:w="18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4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Характеристика</w:t>
            </w:r>
          </w:p>
        </w:tc>
        <w:tc>
          <w:tcPr>
            <w:tcW w:type="dxa" w:w="3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Режим</w:t>
            </w:r>
          </w:p>
        </w:tc>
      </w:tr>
      <w:tr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Зелёный</w:t>
            </w:r>
          </w:p>
        </w:tc>
        <w:tc>
          <w:tcPr>
            <w:tcW w:type="dxa" w:w="4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Фоновое состояние; отклонения в допустимых пределах.</w:t>
            </w:r>
          </w:p>
        </w:tc>
        <w:tc>
          <w:tcPr>
            <w:tcW w:type="dxa" w:w="3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Наблюдение и обновление базовых линий.</w:t>
            </w:r>
          </w:p>
        </w:tc>
      </w:tr>
      <w:tr>
        <w:tc>
          <w:tcPr>
            <w:tcW w:type="dxa" w:w="1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Жёлтый</w:t>
            </w:r>
          </w:p>
        </w:tc>
        <w:tc>
          <w:tcPr>
            <w:tcW w:type="dxa" w:w="4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Устойчивый слабый сигнал или рост неопределённости.</w:t>
            </w:r>
          </w:p>
        </w:tc>
        <w:tc>
          <w:tcPr>
            <w:tcW w:type="dxa" w:w="3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Усиленный мониторинг и экспертная проверка.</w:t>
            </w:r>
          </w:p>
        </w:tc>
      </w:tr>
      <w:tr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Оранжевый</w:t>
            </w:r>
          </w:p>
        </w:tc>
        <w:tc>
          <w:tcPr>
            <w:tcW w:type="dxa" w:w="4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Высокая вероятность значимого события.</w:t>
            </w:r>
          </w:p>
        </w:tc>
        <w:tc>
          <w:tcPr>
            <w:tcW w:type="dxa" w:w="3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Подготовка сил, резервов и адресное предупреждение.</w:t>
            </w:r>
          </w:p>
        </w:tc>
      </w:tr>
      <w:tr>
        <w:tc>
          <w:tcPr>
            <w:tcW w:type="dxa" w:w="1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Красный</w:t>
            </w:r>
          </w:p>
        </w:tc>
        <w:tc>
          <w:tcPr>
            <w:tcW w:type="dxa" w:w="4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Событие неизбежно или уже развивается.</w:t>
            </w:r>
          </w:p>
        </w:tc>
        <w:tc>
          <w:tcPr>
            <w:tcW w:type="dxa" w:w="3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Немедленное реагирование и межведомственная координация.</w:t>
            </w:r>
          </w:p>
        </w:tc>
      </w:tr>
      <w:tr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Фиолетовый</w:t>
            </w:r>
          </w:p>
        </w:tc>
        <w:tc>
          <w:tcPr>
            <w:tcW w:type="dxa" w:w="4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Трансграничный либо планетарный каскадный риск.</w:t>
            </w:r>
          </w:p>
        </w:tc>
        <w:tc>
          <w:tcPr>
            <w:tcW w:type="dxa" w:w="3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Международный протокол совместных действий.</w:t>
            </w:r>
          </w:p>
        </w:tc>
      </w:tr>
    </w:tbl>
    <w:p>
      <w:pPr>
        <w:spacing w:after="20"/>
      </w:pP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Порог перехода между уровнями задаётся отдельно для каждого типа угрозы и территории. Автоматическая система может инициировать проверку и распространить технический сигнал, но решения, затрагивающие права граждан и суверенные полномочия, принимаются уполномоченными людьми.</w:t>
      </w:r>
    </w:p>
    <w:p>
      <w:pPr>
        <w:pStyle w:val="Heading1"/>
        <w:keepNext/>
      </w:pPr>
      <w:r>
        <w:t>10. Система управления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600"/>
      </w:tblGrid>
      <w:tr>
        <w:trPr>
          <w:tblHeader w:val="true"/>
        </w:trPr>
        <w:tc>
          <w:tcPr>
            <w:tcW w:type="dxa" w:w="30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Орган</w:t>
            </w:r>
          </w:p>
        </w:tc>
        <w:tc>
          <w:tcPr>
            <w:tcW w:type="dxa" w:w="66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Функция</w:t>
            </w:r>
          </w:p>
        </w:tc>
      </w:tr>
      <w:tr>
        <w:tc>
          <w:tcPr>
            <w:tcW w:type="dxa" w:w="3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Международный наблюдательный совет</w:t>
            </w:r>
          </w:p>
        </w:tc>
        <w:tc>
          <w:tcPr>
            <w:tcW w:type="dxa" w:w="6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Принципы, доверие, баланс интересов и международная легитимность.</w:t>
            </w:r>
          </w:p>
        </w:tc>
      </w:tr>
      <w:tr>
        <w:tc>
          <w:tcPr>
            <w:tcW w:type="dxa" w:w="30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Научно-прогностический совет</w:t>
            </w:r>
          </w:p>
        </w:tc>
        <w:tc>
          <w:tcPr>
            <w:tcW w:type="dxa" w:w="6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Методологии, модели, независимая экспертиза и этика науки.</w:t>
            </w:r>
          </w:p>
        </w:tc>
      </w:tr>
      <w:tr>
        <w:tc>
          <w:tcPr>
            <w:tcW w:type="dxa" w:w="3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Глобальный ситуационный центр</w:t>
            </w:r>
          </w:p>
        </w:tc>
        <w:tc>
          <w:tcPr>
            <w:tcW w:type="dxa" w:w="6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Планетарная картина, трансграничные риски и координация.</w:t>
            </w:r>
          </w:p>
        </w:tc>
      </w:tr>
      <w:tr>
        <w:tc>
          <w:tcPr>
            <w:tcW w:type="dxa" w:w="30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Национальные узлы</w:t>
            </w:r>
          </w:p>
        </w:tc>
        <w:tc>
          <w:tcPr>
            <w:tcW w:type="dxa" w:w="6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Суверенное управление данными, предупреждениями и реагированием.</w:t>
            </w:r>
          </w:p>
        </w:tc>
      </w:tr>
      <w:tr>
        <w:tc>
          <w:tcPr>
            <w:tcW w:type="dxa" w:w="3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Региональные центры</w:t>
            </w:r>
          </w:p>
        </w:tc>
        <w:tc>
          <w:tcPr>
            <w:tcW w:type="dxa" w:w="6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Локальная детализация и взаимодействие служб.</w:t>
            </w:r>
          </w:p>
        </w:tc>
      </w:tr>
      <w:tr>
        <w:tc>
          <w:tcPr>
            <w:tcW w:type="dxa" w:w="30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Центры валидации</w:t>
            </w:r>
          </w:p>
        </w:tc>
        <w:tc>
          <w:tcPr>
            <w:tcW w:type="dxa" w:w="6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Подтверждение качества данных, моделей, прогнозов и результатов.</w:t>
            </w:r>
          </w:p>
        </w:tc>
      </w:tr>
      <w:tr>
        <w:tc>
          <w:tcPr>
            <w:tcW w:type="dxa" w:w="3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Операторы инфраструктуры</w:t>
            </w:r>
          </w:p>
        </w:tc>
        <w:tc>
          <w:tcPr>
            <w:tcW w:type="dxa" w:w="6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Эксплуатация спутников, БПЛА, сетей связи и датчиков.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11. Суверенность данных и доверие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Архитектура строится по принципу федеративной аналитики: чувствительные массивы могут оставаться у владельца, а в общий контур передаются разрешённые показатели, модели, доказательства происхождения и предупреждения.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3800"/>
        <w:gridCol w:w="3700"/>
      </w:tblGrid>
      <w:tr>
        <w:trPr>
          <w:tblHeader w:val="true"/>
        </w:trPr>
        <w:tc>
          <w:tcPr>
            <w:tcW w:type="dxa" w:w="21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Класс доступа</w:t>
            </w:r>
          </w:p>
        </w:tc>
        <w:tc>
          <w:tcPr>
            <w:tcW w:type="dxa" w:w="38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Пример</w:t>
            </w:r>
          </w:p>
        </w:tc>
        <w:tc>
          <w:tcPr>
            <w:tcW w:type="dxa" w:w="37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Управление</w:t>
            </w:r>
          </w:p>
        </w:tc>
      </w:tr>
      <w:tr>
        <w:tc>
          <w:tcPr>
            <w:tcW w:type="dxa" w:w="2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Открытый</w:t>
            </w:r>
          </w:p>
        </w:tc>
        <w:tc>
          <w:tcPr>
            <w:tcW w:type="dxa" w:w="3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Публичные карты, базовые индексы, просветительские данные.</w:t>
            </w:r>
          </w:p>
        </w:tc>
        <w:tc>
          <w:tcPr>
            <w:tcW w:type="dxa" w:w="37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Открытые лицензии и машиночитаемые интерфейсы.</w:t>
            </w:r>
          </w:p>
        </w:tc>
      </w:tr>
      <w:tr>
        <w:tc>
          <w:tcPr>
            <w:tcW w:type="dxa" w:w="21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Профессиональный</w:t>
            </w:r>
          </w:p>
        </w:tc>
        <w:tc>
          <w:tcPr>
            <w:tcW w:type="dxa" w:w="3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Детальные научные и отраслевые наборы.</w:t>
            </w:r>
          </w:p>
        </w:tc>
        <w:tc>
          <w:tcPr>
            <w:tcW w:type="dxa" w:w="37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Регистрация, лицензирование, соглашения использования.</w:t>
            </w:r>
          </w:p>
        </w:tc>
      </w:tr>
      <w:tr>
        <w:tc>
          <w:tcPr>
            <w:tcW w:type="dxa" w:w="2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Межведомственный</w:t>
            </w:r>
          </w:p>
        </w:tc>
        <w:tc>
          <w:tcPr>
            <w:tcW w:type="dxa" w:w="3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Оперативные данные для органов управления.</w:t>
            </w:r>
          </w:p>
        </w:tc>
        <w:tc>
          <w:tcPr>
            <w:tcW w:type="dxa" w:w="37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Ролевой доступ, журналирование, защищённые каналы.</w:t>
            </w:r>
          </w:p>
        </w:tc>
      </w:tr>
      <w:tr>
        <w:tc>
          <w:tcPr>
            <w:tcW w:type="dxa" w:w="21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Суверенный</w:t>
            </w:r>
          </w:p>
        </w:tc>
        <w:tc>
          <w:tcPr>
            <w:tcW w:type="dxa" w:w="3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Национальные массивы и модели критических объектов.</w:t>
            </w:r>
          </w:p>
        </w:tc>
        <w:tc>
          <w:tcPr>
            <w:tcW w:type="dxa" w:w="37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Хранение и вычисления в национальном контуре.</w:t>
            </w:r>
          </w:p>
        </w:tc>
      </w:tr>
      <w:tr>
        <w:tc>
          <w:tcPr>
            <w:tcW w:type="dxa" w:w="2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Особой важности</w:t>
            </w:r>
          </w:p>
        </w:tc>
        <w:tc>
          <w:tcPr>
            <w:tcW w:type="dxa" w:w="3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Данные, раскрытие которых создаёт угрозу безопасности.</w:t>
            </w:r>
          </w:p>
        </w:tc>
        <w:tc>
          <w:tcPr>
            <w:tcW w:type="dxa" w:w="37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Изолированные контуры и специальные регламенты.</w:t>
            </w:r>
          </w:p>
        </w:tc>
      </w:tr>
    </w:tbl>
    <w:p>
      <w:pPr>
        <w:spacing w:after="20"/>
      </w:pP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Неизменяемый журнал происхождения и преобразований данных.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Криптографическая идентификация источников и участников.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Оценка качества: полнота, своевременность, точность, согласованность.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Версионирование моделей и воспроизводимость расчётов.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Независимый аудит алгоритмов и механизм обжалования решений.</w:t>
      </w:r>
    </w:p>
    <w:p>
      <w:r>
        <w:br w:type="page"/>
      </w:r>
    </w:p>
    <w:p>
      <w:pPr>
        <w:pStyle w:val="Heading1"/>
        <w:keepNext/>
      </w:pPr>
      <w:r>
        <w:t>12. Научная валидация и доказательность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Прогноз считается управленчески пригодным только после прохождения установленного уровня проверки. Глубина валидации зависит от срочности и потенциального ущерба: при немедленной угрозе допускается ускоренный режим с обязательным последующим аудитом.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7000"/>
      </w:tblGrid>
      <w:tr>
        <w:trPr>
          <w:tblHeader w:val="true"/>
        </w:trPr>
        <w:tc>
          <w:tcPr>
            <w:tcW w:type="dxa" w:w="26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Объект проверки</w:t>
            </w:r>
          </w:p>
        </w:tc>
        <w:tc>
          <w:tcPr>
            <w:tcW w:type="dxa" w:w="70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Критерии</w:t>
            </w:r>
          </w:p>
        </w:tc>
      </w:tr>
      <w:tr>
        <w:tc>
          <w:tcPr>
            <w:tcW w:type="dxa" w:w="2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Данные</w:t>
            </w:r>
          </w:p>
        </w:tc>
        <w:tc>
          <w:tcPr>
            <w:tcW w:type="dxa" w:w="7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Происхождение, калибровка, пространственно-временная точность, пропуски.</w:t>
            </w:r>
          </w:p>
        </w:tc>
      </w:tr>
      <w:tr>
        <w:tc>
          <w:tcPr>
            <w:tcW w:type="dxa" w:w="2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Модель</w:t>
            </w:r>
          </w:p>
        </w:tc>
        <w:tc>
          <w:tcPr>
            <w:tcW w:type="dxa" w:w="70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Назначение, область применимости, качество обучения, устойчивость.</w:t>
            </w:r>
          </w:p>
        </w:tc>
      </w:tr>
      <w:tr>
        <w:tc>
          <w:tcPr>
            <w:tcW w:type="dxa" w:w="2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Прогноз</w:t>
            </w:r>
          </w:p>
        </w:tc>
        <w:tc>
          <w:tcPr>
            <w:tcW w:type="dxa" w:w="7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Вероятность, интервал неопределённости, альтернативы, ретроспективная точность.</w:t>
            </w:r>
          </w:p>
        </w:tc>
      </w:tr>
      <w:tr>
        <w:tc>
          <w:tcPr>
            <w:tcW w:type="dxa" w:w="2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Рекомендация</w:t>
            </w:r>
          </w:p>
        </w:tc>
        <w:tc>
          <w:tcPr>
            <w:tcW w:type="dxa" w:w="70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Соразмерность, реализуемость, побочные эффекты, ответственное лицо.</w:t>
            </w:r>
          </w:p>
        </w:tc>
      </w:tr>
      <w:tr>
        <w:tc>
          <w:tcPr>
            <w:tcW w:type="dxa" w:w="2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Результат</w:t>
            </w:r>
          </w:p>
        </w:tc>
        <w:tc>
          <w:tcPr>
            <w:tcW w:type="dxa" w:w="7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Фактический эффект, стоимость, предотвращённый ущерб, уроки.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13. Интеграция экосистемы ЭКВИЛИБРИУМ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7100"/>
      </w:tblGrid>
      <w:tr>
        <w:trPr>
          <w:tblHeader w:val="true"/>
        </w:trPr>
        <w:tc>
          <w:tcPr>
            <w:tcW w:type="dxa" w:w="25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Элемент</w:t>
            </w:r>
          </w:p>
        </w:tc>
        <w:tc>
          <w:tcPr>
            <w:tcW w:type="dxa" w:w="71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Роль в ГАСМП</w:t>
            </w:r>
          </w:p>
        </w:tc>
      </w:tr>
      <w:tr>
        <w:tc>
          <w:tcPr>
            <w:tcW w:type="dxa" w:w="2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ЭКВИЛИБРИУМ</w:t>
            </w:r>
          </w:p>
        </w:tc>
        <w:tc>
          <w:tcPr>
            <w:tcW w:type="dxa" w:w="7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Наблюдение, цифровой двойник, прогнозирование, контроль и баланс.</w:t>
            </w:r>
          </w:p>
        </w:tc>
      </w:tr>
      <w:tr>
        <w:tc>
          <w:tcPr>
            <w:tcW w:type="dxa" w:w="2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СФЕРА</w:t>
            </w:r>
          </w:p>
        </w:tc>
        <w:tc>
          <w:tcPr>
            <w:tcW w:type="dxa" w:w="71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Единое пространство инициатив, коммуникаций и общественного участия.</w:t>
            </w:r>
          </w:p>
        </w:tc>
      </w:tr>
      <w:tr>
        <w:tc>
          <w:tcPr>
            <w:tcW w:type="dxa" w:w="2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ECO-PPA</w:t>
            </w:r>
          </w:p>
        </w:tc>
        <w:tc>
          <w:tcPr>
            <w:tcW w:type="dxa" w:w="7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Мобилизация государственных и частных ресурсов под подтверждённые задачи.</w:t>
            </w:r>
          </w:p>
        </w:tc>
      </w:tr>
      <w:tr>
        <w:tc>
          <w:tcPr>
            <w:tcW w:type="dxa" w:w="2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СПЕЦЗАЩИТА</w:t>
            </w:r>
          </w:p>
        </w:tc>
        <w:tc>
          <w:tcPr>
            <w:tcW w:type="dxa" w:w="71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Кооперационная организация проектных консорциумов и практического исполнения.</w:t>
            </w:r>
          </w:p>
        </w:tc>
      </w:tr>
      <w:tr>
        <w:tc>
          <w:tcPr>
            <w:tcW w:type="dxa" w:w="2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Биоценозные точки</w:t>
            </w:r>
          </w:p>
        </w:tc>
        <w:tc>
          <w:tcPr>
            <w:tcW w:type="dxa" w:w="7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Наземная сеть целостного наблюдения за локальными экосистемами.</w:t>
            </w:r>
          </w:p>
        </w:tc>
      </w:tr>
      <w:tr>
        <w:tc>
          <w:tcPr>
            <w:tcW w:type="dxa" w:w="2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ESG-IR</w:t>
            </w:r>
          </w:p>
        </w:tc>
        <w:tc>
          <w:tcPr>
            <w:tcW w:type="dxa" w:w="71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Измерение воздействия, доказательность и рейтинг устойчивости.</w:t>
            </w:r>
          </w:p>
        </w:tc>
      </w:tr>
      <w:tr>
        <w:tc>
          <w:tcPr>
            <w:tcW w:type="dxa" w:w="2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ЕУТ</w:t>
            </w:r>
          </w:p>
        </w:tc>
        <w:tc>
          <w:tcPr>
            <w:tcW w:type="dxa" w:w="71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Единые протоколы, реестры, технологическая совместимость и живой баланс.</w:t>
            </w:r>
          </w:p>
        </w:tc>
      </w:tr>
    </w:tbl>
    <w:p>
      <w:pPr>
        <w:spacing w:after="20"/>
      </w:pPr>
    </w:p>
    <w:p>
      <w:pPr>
        <w:pStyle w:val="Callout"/>
        <w:spacing w:before="160" w:after="160"/>
        <w:shd w:fill="DCEFF8"/>
        <w:pBdr>
          <w:top w:val="single" w:sz="10" w:color="3AA6C1" w:space="5"/>
          <w:left w:val="single" w:sz="10" w:color="3AA6C1" w:space="5"/>
          <w:bottom w:val="single" w:sz="10" w:color="3AA6C1" w:space="5"/>
          <w:right w:val="single" w:sz="10" w:color="3AA6C1" w:space="5"/>
        </w:pBdr>
      </w:pPr>
      <w:r>
        <w:rPr>
          <w:rFonts w:ascii="Aptos" w:hAnsi="Aptos" w:eastAsia="Aptos"/>
          <w:b/>
          <w:color w:val="1769AA"/>
          <w:sz w:val="21"/>
        </w:rPr>
        <w:t xml:space="preserve">СКВОЗНОЙ ПРОЦЕСС  </w:t>
      </w:r>
      <w:r>
        <w:rPr>
          <w:rFonts w:ascii="Aptos" w:hAnsi="Aptos" w:eastAsia="Aptos"/>
          <w:b w:val="0"/>
          <w:color w:val="102A43"/>
          <w:sz w:val="21"/>
        </w:rPr>
        <w:t>Сигнал → верифицированная угроза → инициатива → экспертиза → кооперация → ресурсное обеспечение → пилот → подтверждённый результат → масштабирование.</w:t>
      </w:r>
    </w:p>
    <w:p>
      <w:pPr>
        <w:pStyle w:val="Heading1"/>
        <w:keepNext/>
      </w:pPr>
      <w:r>
        <w:t>14. Продукты и сервисы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Планетарная карта рисков и ранних сигналов.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Цифровой двойник Земли и околоземного пространства.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Паспорта устойчивости государств, регионов, городов и объектов.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Прогнозы урожая, воды, пожаров, паводков, эпидемий и инфраструктурных рисков.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Сервис адресного предупреждения населения и организаций.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Реестр предупреждений, решений, исполнителей и подтверждённых результатов.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Маркетплейс данных, моделей, сенсоров и аналитических сервисов.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Страховые, инвестиционные и компенсационные продукты на основе верифицированных данных.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Международный банк сценариев и лучших практик восстановления.</w:t>
      </w:r>
    </w:p>
    <w:p>
      <w:r>
        <w:br w:type="page"/>
      </w:r>
    </w:p>
    <w:p>
      <w:pPr>
        <w:pStyle w:val="Heading1"/>
        <w:keepNext/>
      </w:pPr>
      <w:r>
        <w:t>15. Финансово-экономическая модель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ГАСМП создаёт общественное благо, но требует устойчивой смешанной модели финансирования. Базовая инфраструктура обеспечивается государствами и международными программами; прикладные сервисы — подписками, контрактами, страховыми и инвестиционными механизмами; научные и гуманитарные направления — грантами и целевыми фондами.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6700"/>
      </w:tblGrid>
      <w:tr>
        <w:trPr>
          <w:tblHeader w:val="true"/>
        </w:trPr>
        <w:tc>
          <w:tcPr>
            <w:tcW w:type="dxa" w:w="29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Источник</w:t>
            </w:r>
          </w:p>
        </w:tc>
        <w:tc>
          <w:tcPr>
            <w:tcW w:type="dxa" w:w="67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Назначение</w:t>
            </w:r>
          </w:p>
        </w:tc>
      </w:tr>
      <w:tr>
        <w:tc>
          <w:tcPr>
            <w:tcW w:type="dxa" w:w="29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Государственные программы</w:t>
            </w:r>
          </w:p>
        </w:tc>
        <w:tc>
          <w:tcPr>
            <w:tcW w:type="dxa" w:w="67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Национальная инфраструктура, безопасность, исследования и готовность.</w:t>
            </w:r>
          </w:p>
        </w:tc>
      </w:tr>
      <w:tr>
        <w:tc>
          <w:tcPr>
            <w:tcW w:type="dxa" w:w="29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Международные фонды</w:t>
            </w:r>
          </w:p>
        </w:tc>
        <w:tc>
          <w:tcPr>
            <w:tcW w:type="dxa" w:w="67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Трансграничные контуры, общие стандарты, помощь уязвимым территориям.</w:t>
            </w:r>
          </w:p>
        </w:tc>
      </w:tr>
      <w:tr>
        <w:tc>
          <w:tcPr>
            <w:tcW w:type="dxa" w:w="29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ГЧП и концессионные модели</w:t>
            </w:r>
          </w:p>
        </w:tc>
        <w:tc>
          <w:tcPr>
            <w:tcW w:type="dxa" w:w="67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Спутниковая, сенсорная, вычислительная и телекоммуникационная инфраструктура.</w:t>
            </w:r>
          </w:p>
        </w:tc>
      </w:tr>
      <w:tr>
        <w:tc>
          <w:tcPr>
            <w:tcW w:type="dxa" w:w="29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Корпоративные контракты</w:t>
            </w:r>
          </w:p>
        </w:tc>
        <w:tc>
          <w:tcPr>
            <w:tcW w:type="dxa" w:w="67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Мониторинг объектов, цепочек поставок и отраслевых рисков.</w:t>
            </w:r>
          </w:p>
        </w:tc>
      </w:tr>
      <w:tr>
        <w:tc>
          <w:tcPr>
            <w:tcW w:type="dxa" w:w="29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Страховые механизмы</w:t>
            </w:r>
          </w:p>
        </w:tc>
        <w:tc>
          <w:tcPr>
            <w:tcW w:type="dxa" w:w="67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Параметрические продукты, снижение ущерба и финансирование превенции.</w:t>
            </w:r>
          </w:p>
        </w:tc>
      </w:tr>
      <w:tr>
        <w:tc>
          <w:tcPr>
            <w:tcW w:type="dxa" w:w="29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ECO-PPA</w:t>
            </w:r>
          </w:p>
        </w:tc>
        <w:tc>
          <w:tcPr>
            <w:tcW w:type="dxa" w:w="67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Привлечение ресурсов под подтверждённые экологические и инфраструктурные результаты.</w:t>
            </w:r>
          </w:p>
        </w:tc>
      </w:tr>
    </w:tbl>
    <w:p>
      <w:pPr>
        <w:spacing w:after="20"/>
      </w:pPr>
    </w:p>
    <w:p>
      <w:pPr>
        <w:pStyle w:val="Callout"/>
        <w:spacing w:before="160" w:after="160"/>
        <w:shd w:fill="DCEFF8"/>
        <w:pBdr>
          <w:top w:val="single" w:sz="10" w:color="3AA6C1" w:space="5"/>
          <w:left w:val="single" w:sz="10" w:color="3AA6C1" w:space="5"/>
          <w:bottom w:val="single" w:sz="10" w:color="3AA6C1" w:space="5"/>
          <w:right w:val="single" w:sz="10" w:color="3AA6C1" w:space="5"/>
        </w:pBdr>
      </w:pPr>
      <w:r>
        <w:rPr>
          <w:rFonts w:ascii="Aptos" w:hAnsi="Aptos" w:eastAsia="Aptos"/>
          <w:b/>
          <w:color w:val="1769AA"/>
          <w:sz w:val="21"/>
        </w:rPr>
        <w:t xml:space="preserve">ЭКОНОМИЧЕСКИЙ ПРИНЦИП  </w:t>
      </w:r>
      <w:r>
        <w:rPr>
          <w:rFonts w:ascii="Aptos" w:hAnsi="Aptos" w:eastAsia="Aptos"/>
          <w:b w:val="0"/>
          <w:color w:val="102A43"/>
          <w:sz w:val="21"/>
        </w:rPr>
        <w:t>Часть подтверждённого предотвращённого ущерба может направляться на развитие инфраструктуры предупреждения и восстановление природного капитала — только после правовой и финансовой верификации методики.</w:t>
      </w:r>
    </w:p>
    <w:p>
      <w:pPr>
        <w:pStyle w:val="Heading1"/>
        <w:keepNext/>
      </w:pPr>
      <w:r>
        <w:t>16. Международная кооперация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Система должна развиваться как открытая архитектура сотрудничества, совместимая с действующими национальными и международными механизмами. Партнёрство строится вокруг конкретных общественных благ: предупреждение бедствий, мониторинг климата, защита океана, космическая безопасность и устойчивость критической инфраструктуры.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Межправительственное соглашение о принципах и режимах обмена.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Общий каталог данных, моделей и вычислительных сервисов.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Совместные трансграничные полигоны и учения.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Взаимное признание центров валидации и методик.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Механизм экстренного предоставления снимков, связи и вычислительных мощностей.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Программа подготовки специалистов и открытая научная кооперация.</w:t>
      </w:r>
    </w:p>
    <w:p>
      <w:r>
        <w:br w:type="page"/>
      </w:r>
    </w:p>
    <w:p>
      <w:pPr>
        <w:pStyle w:val="Heading1"/>
        <w:keepNext/>
      </w:pPr>
      <w:r>
        <w:t>17. Этические и правовые гарантии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600"/>
      </w:tblGrid>
      <w:tr>
        <w:trPr>
          <w:tblHeader w:val="true"/>
        </w:trPr>
        <w:tc>
          <w:tcPr>
            <w:tcW w:type="dxa" w:w="30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66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Гарантия</w:t>
            </w:r>
          </w:p>
        </w:tc>
      </w:tr>
      <w:tr>
        <w:tc>
          <w:tcPr>
            <w:tcW w:type="dxa" w:w="3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Массовое наблюдение за людьми</w:t>
            </w:r>
          </w:p>
        </w:tc>
        <w:tc>
          <w:tcPr>
            <w:tcW w:type="dxa" w:w="6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Минимизация персональных данных, законная цель, пропорциональность и надзор.</w:t>
            </w:r>
          </w:p>
        </w:tc>
      </w:tr>
      <w:tr>
        <w:tc>
          <w:tcPr>
            <w:tcW w:type="dxa" w:w="30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Алгоритмическая дискриминация</w:t>
            </w:r>
          </w:p>
        </w:tc>
        <w:tc>
          <w:tcPr>
            <w:tcW w:type="dxa" w:w="6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Тестирование смещений, объяснимость и право на пересмотр человеком.</w:t>
            </w:r>
          </w:p>
        </w:tc>
      </w:tr>
      <w:tr>
        <w:tc>
          <w:tcPr>
            <w:tcW w:type="dxa" w:w="3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Ложные тревоги</w:t>
            </w:r>
          </w:p>
        </w:tc>
        <w:tc>
          <w:tcPr>
            <w:tcW w:type="dxa" w:w="6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Пороговые модели, многоисточниковая проверка и указание неопределённости.</w:t>
            </w:r>
          </w:p>
        </w:tc>
      </w:tr>
      <w:tr>
        <w:tc>
          <w:tcPr>
            <w:tcW w:type="dxa" w:w="30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Скрытие опасной информации</w:t>
            </w:r>
          </w:p>
        </w:tc>
        <w:tc>
          <w:tcPr>
            <w:tcW w:type="dxa" w:w="6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Обязательные протоколы раскрытия трансграничных угроз и аудит.</w:t>
            </w:r>
          </w:p>
        </w:tc>
      </w:tr>
      <w:tr>
        <w:tc>
          <w:tcPr>
            <w:tcW w:type="dxa" w:w="30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Военное или недобросовестное использование</w:t>
            </w:r>
          </w:p>
        </w:tc>
        <w:tc>
          <w:tcPr>
            <w:tcW w:type="dxa" w:w="66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Разделение гражданских контуров, контроль доступа и международные гарантии.</w:t>
            </w:r>
          </w:p>
        </w:tc>
      </w:tr>
      <w:tr>
        <w:tc>
          <w:tcPr>
            <w:tcW w:type="dxa" w:w="30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Зависимость от одного оператора</w:t>
            </w:r>
          </w:p>
        </w:tc>
        <w:tc>
          <w:tcPr>
            <w:tcW w:type="dxa" w:w="66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Открытые стандарты, переносимость и резервирование критических функций.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18. Киберустойчивость и непрерывность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Архитектура нулевого доверия и минимально необходимых полномочий.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Географически распределённое резервирование центров и каналов связи.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Защита цепочки поставок программного и аппаратного обеспечения.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Обнаружение подмены сенсорных данных и атак на модели искусственного интеллекта.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Ручные и автономные резервные режимы для критических предупреждений.</w:t>
      </w:r>
    </w:p>
    <w:p>
      <w:pPr>
        <w:pStyle w:val="ListBullet"/>
        <w:spacing w:after="60" w:line="269" w:lineRule="auto"/>
      </w:pPr>
      <w:r>
        <w:rPr>
          <w:rFonts w:ascii="Aptos" w:hAnsi="Aptos" w:eastAsia="Aptos"/>
          <w:b w:val="0"/>
          <w:color w:val="243B53"/>
          <w:sz w:val="20"/>
        </w:rPr>
        <w:t>Регулярные киберучения, проверка восстановления и независимый аудит.</w:t>
      </w:r>
    </w:p>
    <w:p>
      <w:pPr>
        <w:pStyle w:val="Heading1"/>
        <w:keepNext/>
      </w:pPr>
      <w:r>
        <w:t>19. Ключевые показатели результативности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400"/>
      </w:tblGrid>
      <w:tr>
        <w:trPr>
          <w:tblHeader w:val="true"/>
        </w:trPr>
        <w:tc>
          <w:tcPr>
            <w:tcW w:type="dxa" w:w="2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Группа</w:t>
            </w:r>
          </w:p>
        </w:tc>
        <w:tc>
          <w:tcPr>
            <w:tcW w:type="dxa" w:w="7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Примеры показателей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Охват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Доля территории, населения, экосистем и критических объектов под наблюдением.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Своевременность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Среднее время от сигнала до подтверждения, предупреждения и решения.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Качество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Точность прогноза, доля ложных тревог, калибровка вероятностей.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Исполнение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Доля предупреждений с назначенным ответственным и закрытым планом действий.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Эффект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Предотвращённый ущерб, сохранённые жизни, площадь восстановленных экосистем.</w:t>
            </w:r>
          </w:p>
        </w:tc>
      </w:tr>
      <w:tr>
        <w:tc>
          <w:tcPr>
            <w:tcW w:type="dxa" w:w="2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Доверие</w:t>
            </w:r>
          </w:p>
        </w:tc>
        <w:tc>
          <w:tcPr>
            <w:tcW w:type="dxa" w:w="7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Доля проверенных источников, воспроизводимых моделей и успешно пройденных аудитов.</w:t>
            </w:r>
          </w:p>
        </w:tc>
      </w:tr>
      <w:tr>
        <w:tc>
          <w:tcPr>
            <w:tcW w:type="dxa" w:w="2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Устойчивость</w:t>
            </w:r>
          </w:p>
        </w:tc>
        <w:tc>
          <w:tcPr>
            <w:tcW w:type="dxa" w:w="7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Доступность сервисов, время восстановления, резервирование критических функций.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20. Дорожная карта создания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1800"/>
        <w:gridCol w:w="5500"/>
      </w:tblGrid>
      <w:tr>
        <w:trPr>
          <w:tblHeader w:val="true"/>
        </w:trPr>
        <w:tc>
          <w:tcPr>
            <w:tcW w:type="dxa" w:w="23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18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55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23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0. Предпроект</w:t>
            </w:r>
          </w:p>
        </w:tc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0–6 месяцев</w:t>
            </w:r>
          </w:p>
        </w:tc>
        <w:tc>
          <w:tcPr>
            <w:tcW w:type="dxa" w:w="5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Консорциум, правовая модель, архитектура, каталог данных, выбор пилота.</w:t>
            </w:r>
          </w:p>
        </w:tc>
      </w:tr>
      <w:tr>
        <w:tc>
          <w:tcPr>
            <w:tcW w:type="dxa" w:w="23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1. Пилотный регион</w:t>
            </w:r>
          </w:p>
        </w:tc>
        <w:tc>
          <w:tcPr>
            <w:tcW w:type="dxa" w:w="1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6–18 месяцев</w:t>
            </w:r>
          </w:p>
        </w:tc>
        <w:tc>
          <w:tcPr>
            <w:tcW w:type="dxa" w:w="5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Интеграция спутников, БПЛА, биоценозных точек и ситуационного центра; 3–5 сценариев угроз.</w:t>
            </w:r>
          </w:p>
        </w:tc>
      </w:tr>
      <w:tr>
        <w:tc>
          <w:tcPr>
            <w:tcW w:type="dxa" w:w="23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2. Национальный контур</w:t>
            </w:r>
          </w:p>
        </w:tc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18–36 месяцев</w:t>
            </w:r>
          </w:p>
        </w:tc>
        <w:tc>
          <w:tcPr>
            <w:tcW w:type="dxa" w:w="5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Федеративная сеть ведомств, отраслей, научных центров и операторов.</w:t>
            </w:r>
          </w:p>
        </w:tc>
      </w:tr>
      <w:tr>
        <w:tc>
          <w:tcPr>
            <w:tcW w:type="dxa" w:w="23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3. Контур партнёров</w:t>
            </w:r>
          </w:p>
        </w:tc>
        <w:tc>
          <w:tcPr>
            <w:tcW w:type="dxa" w:w="18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3–5 лет</w:t>
            </w:r>
          </w:p>
        </w:tc>
        <w:tc>
          <w:tcPr>
            <w:tcW w:type="dxa" w:w="55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Трансграничные полигоны, взаимная валидация, общие учения и сервисы.</w:t>
            </w:r>
          </w:p>
        </w:tc>
      </w:tr>
      <w:tr>
        <w:tc>
          <w:tcPr>
            <w:tcW w:type="dxa" w:w="23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4. Планетарная система</w:t>
            </w:r>
          </w:p>
        </w:tc>
        <w:tc>
          <w:tcPr>
            <w:tcW w:type="dxa" w:w="18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5–10 лет</w:t>
            </w:r>
          </w:p>
        </w:tc>
        <w:tc>
          <w:tcPr>
            <w:tcW w:type="dxa" w:w="55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Глобальный цифровой двойник, круглосуточный ситуационный контур и масштабирование.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Приоритеты первых 100 дней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Утвердить инициирующий совет и проектный офис.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Сформировать паспорт пилотной территории и перечень угроз.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Провести инвентаризацию доступных данных, датчиков, спутниковых сервисов и моделей.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Определить пять измеримых сценариев раннего предупреждения.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Разработать протоколы обмена, валидации, классификации и реагирования.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Подготовить технико-экономическое обоснование и финансовую модель пилота.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Запустить демонстрационный ситуационный экран и первое межведомственное учение.</w:t>
      </w:r>
    </w:p>
    <w:p>
      <w:r>
        <w:br w:type="page"/>
      </w:r>
    </w:p>
    <w:p>
      <w:pPr>
        <w:pStyle w:val="Heading1"/>
        <w:keepNext/>
      </w:pPr>
      <w:r>
        <w:t>21. Рекомендуемый пилот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Пилот целесообразно строить вокруг одной географически целостной территории, где одновременно представлены природные, инфраструктурные и социальные риски. Минимальный контур должен включать: паводок или пожар; качество воды и воздуха; устойчивость критической инфраструктуры; биоценозный мониторинг; адресное предупреждение населения.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200"/>
        <w:gridCol w:w="6400"/>
      </w:tblGrid>
      <w:tr>
        <w:trPr>
          <w:tblHeader w:val="true"/>
        </w:trPr>
        <w:tc>
          <w:tcPr>
            <w:tcW w:type="dxa" w:w="32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Параметр готовности</w:t>
            </w:r>
          </w:p>
        </w:tc>
        <w:tc>
          <w:tcPr>
            <w:tcW w:type="dxa" w:w="6400"/>
            <w:shd w:fill="102A43"/>
            <w:tcBorders>
              <w:top w:val="single" w:sz="6" w:color="102A43"/>
              <w:left w:val="single" w:sz="6" w:color="102A43"/>
              <w:bottom w:val="single" w:sz="6" w:color="102A43"/>
              <w:right w:val="single" w:sz="6" w:color="102A43"/>
              <w:insideH w:val="single" w:sz="6" w:color="102A43"/>
              <w:insideV w:val="single" w:sz="6" w:color="102A4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Критерий запуска</w:t>
            </w:r>
          </w:p>
        </w:tc>
      </w:tr>
      <w:tr>
        <w:tc>
          <w:tcPr>
            <w:tcW w:type="dxa" w:w="3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Управление</w:t>
            </w:r>
          </w:p>
        </w:tc>
        <w:tc>
          <w:tcPr>
            <w:tcW w:type="dxa" w:w="6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Определены заказчик, оператор, научный руководитель и службы реагирования.</w:t>
            </w:r>
          </w:p>
        </w:tc>
      </w:tr>
      <w:tr>
        <w:tc>
          <w:tcPr>
            <w:tcW w:type="dxa" w:w="3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Данные</w:t>
            </w:r>
          </w:p>
        </w:tc>
        <w:tc>
          <w:tcPr>
            <w:tcW w:type="dxa" w:w="6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Не менее трёх независимых классов источников для ключевых сценариев.</w:t>
            </w:r>
          </w:p>
        </w:tc>
      </w:tr>
      <w:tr>
        <w:tc>
          <w:tcPr>
            <w:tcW w:type="dxa" w:w="3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Инфраструктура</w:t>
            </w:r>
          </w:p>
        </w:tc>
        <w:tc>
          <w:tcPr>
            <w:tcW w:type="dxa" w:w="6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Защищённая интеграционная платформа и резервный канал оповещения.</w:t>
            </w:r>
          </w:p>
        </w:tc>
      </w:tr>
      <w:tr>
        <w:tc>
          <w:tcPr>
            <w:tcW w:type="dxa" w:w="3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Методика</w:t>
            </w:r>
          </w:p>
        </w:tc>
        <w:tc>
          <w:tcPr>
            <w:tcW w:type="dxa" w:w="6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Зафиксированы базовые линии, пороги, метрики качества и протокол валидации.</w:t>
            </w:r>
          </w:p>
        </w:tc>
      </w:tr>
      <w:tr>
        <w:tc>
          <w:tcPr>
            <w:tcW w:type="dxa" w:w="32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Исполнение</w:t>
            </w:r>
          </w:p>
        </w:tc>
        <w:tc>
          <w:tcPr>
            <w:tcW w:type="dxa" w:w="6400"/>
            <w:vAlign w:val="center"/>
            <w:shd w:fill="FFFFFF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Проведено учение, назначены ресурсы и сроки действий.</w:t>
            </w:r>
          </w:p>
        </w:tc>
      </w:tr>
      <w:tr>
        <w:tc>
          <w:tcPr>
            <w:tcW w:type="dxa" w:w="32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Общественное доверие</w:t>
            </w:r>
          </w:p>
        </w:tc>
        <w:tc>
          <w:tcPr>
            <w:tcW w:type="dxa" w:w="6400"/>
            <w:vAlign w:val="center"/>
            <w:shd w:fill="F3F8FB"/>
            <w:tcBorders>
              <w:top w:val="single" w:sz="6" w:color="B8CBD8"/>
              <w:left w:val="single" w:sz="6" w:color="B8CBD8"/>
              <w:bottom w:val="single" w:sz="6" w:color="B8CBD8"/>
              <w:right w:val="single" w:sz="6" w:color="B8CBD8"/>
              <w:insideH w:val="single" w:sz="6" w:color="B8CBD8"/>
              <w:insideV w:val="single" w:sz="6" w:color="B8CBD8"/>
            </w:tcBorders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 w:eastAsia="Aptos"/>
                <w:b w:val="0"/>
                <w:color w:val="243B53"/>
                <w:sz w:val="17"/>
              </w:rPr>
              <w:t>Опубликованы цели, ограничения, правила защиты данных и канал обратной связи.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22. Решения, необходимые для старта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Признать ГАСМП «ЭКВИЛИБРИУМ» приоритетной инициативой планетарной безопасности и устойчивого развития.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Создать межведомственную и международную рабочую группу.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Определить пилотную территорию и пять приоритетных сценариев.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Утвердить принципы суверенности, этики, валидации и обмена данными.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Сформировать проектный консорциум ЭКВИЛИБРИУМ — СФЕРА — ECO-PPA — СПЕЦЗАЩИТА.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Подготовить техническое задание, ТЭО, финансовую и правовую модели.</w:t>
      </w:r>
    </w:p>
    <w:p>
      <w:pPr>
        <w:pStyle w:val="ListNumber"/>
        <w:spacing w:after="80"/>
      </w:pPr>
      <w:r>
        <w:rPr>
          <w:rFonts w:ascii="Aptos" w:hAnsi="Aptos" w:eastAsia="Aptos"/>
          <w:b w:val="0"/>
          <w:color w:val="243B53"/>
          <w:sz w:val="20"/>
        </w:rPr>
        <w:t>Запустить демонстрационный контур в течение 12 месяцев после утверждения предпроекта.</w:t>
      </w:r>
    </w:p>
    <w:p>
      <w:pPr>
        <w:pStyle w:val="Callout"/>
        <w:spacing w:before="160" w:after="160"/>
        <w:shd w:fill="DCEFF8"/>
        <w:pBdr>
          <w:top w:val="single" w:sz="10" w:color="3AA6C1" w:space="5"/>
          <w:left w:val="single" w:sz="10" w:color="3AA6C1" w:space="5"/>
          <w:bottom w:val="single" w:sz="10" w:color="3AA6C1" w:space="5"/>
          <w:right w:val="single" w:sz="10" w:color="3AA6C1" w:space="5"/>
        </w:pBdr>
      </w:pPr>
      <w:r>
        <w:rPr>
          <w:rFonts w:ascii="Aptos" w:hAnsi="Aptos" w:eastAsia="Aptos"/>
          <w:b/>
          <w:color w:val="1769AA"/>
          <w:sz w:val="21"/>
        </w:rPr>
        <w:t xml:space="preserve">ИТОГОВОЕ ПОЗИЦИОНИРОВАНИЕ  </w:t>
      </w:r>
      <w:r>
        <w:rPr>
          <w:rFonts w:ascii="Aptos" w:hAnsi="Aptos" w:eastAsia="Aptos"/>
          <w:b w:val="0"/>
          <w:color w:val="102A43"/>
          <w:sz w:val="21"/>
        </w:rPr>
        <w:t>ГАСМП «ЭКВИЛИБРИУМ» — не ещё одна система наблюдения, а связующая архитектура планетарной ответственности: она превращает данные в знание, знание — в своевременное решение, а решение — в подтверждённый результат.</w:t>
      </w:r>
    </w:p>
    <w:p>
      <w:pPr>
        <w:pStyle w:val="Heading1"/>
        <w:keepNext/>
      </w:pPr>
      <w:r>
        <w:t>Заключение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Человечество уже обладает большей частью необходимых средств: аэрокосмическими платформами, сенсорными сетями, вычислительными мощностями, научными моделями и институтами реагирования. Главный дефицит — не отдельная технология, а доверенная связность между наблюдением, прогнозом и действием.</w:t>
      </w:r>
    </w:p>
    <w:p>
      <w:pPr>
        <w:spacing w:after="120" w:line="278" w:lineRule="auto"/>
      </w:pPr>
      <w:r>
        <w:rPr>
          <w:rFonts w:ascii="Aptos" w:hAnsi="Aptos" w:eastAsia="Aptos"/>
          <w:b w:val="0"/>
          <w:color w:val="243B53"/>
          <w:sz w:val="21"/>
        </w:rPr>
        <w:t>ГАСМП «ЭКВИЛИБРИУМ» предлагает такую связность. Её создание формирует новую культуру безопасности: угрозы выявляются до перехода в катастрофу, ресурсы мобилизуются на основе доказательств, а результат оценивается по сохранённым жизням, устойчивости территорий и восстановленному равновесию.</w:t>
      </w:r>
    </w:p>
    <w:p>
      <w:pPr>
        <w:spacing w:before="440"/>
        <w:jc w:val="center"/>
      </w:pPr>
      <w:r>
        <w:rPr>
          <w:rFonts w:ascii="Aptos" w:hAnsi="Aptos" w:eastAsia="Aptos"/>
          <w:b/>
          <w:color w:val="1769AA"/>
          <w:sz w:val="22"/>
        </w:rPr>
        <w:t>УВИДЕТЬ РАНЬШЕ  •  ПОНЯТЬ ТОЧНЕЕ  •  ДЕЙСТВОВАТЬ СООБЩА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267" w:bottom="1181" w:left="1267" w:header="547" w:footer="54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b w:val="0"/>
        <w:color w:val="627D98"/>
        <w:sz w:val="16"/>
      </w:rPr>
      <w:t>Планетарная система раннего предупреждения  •  Версия 1.0  •  23 августа 2026 года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b/>
        <w:color w:val="627D98"/>
        <w:sz w:val="16"/>
      </w:rPr>
      <w:t>ГАСМП «ЭКВИЛИБРИУМ»  |  СТРАТЕГИЧЕСКАЯ КОНЦЕПЦИЯ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ptos" w:hAnsi="Aptos"/>
      <w:color w:val="243B5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02A4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69AA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3AA6C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02A43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80"/>
    </w:pPr>
    <w:rPr>
      <w:rFonts w:asciiTheme="majorHAnsi" w:eastAsiaTheme="majorEastAsia" w:hAnsiTheme="majorHAnsi" w:cstheme="majorBidi" w:ascii="Aptos Display" w:hAnsi="Aptos Display"/>
      <w:b w:val="0"/>
      <w:i/>
      <w:iCs/>
      <w:color w:val="627D9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60" w:after="160"/>
      <w:ind w:left="259" w:right="259"/>
    </w:pPr>
    <w:rPr>
      <w:rFonts w:ascii="Aptos" w:hAnsi="Aptos"/>
      <w:color w:val="102A43"/>
      <w:sz w:val="22"/>
    </w:rPr>
  </w:style>
  <w:style w:type="paragraph" w:customStyle="1" w:styleId="Kicker">
    <w:name w:val="Kicker"/>
    <w:pPr>
      <w:spacing w:after="100"/>
    </w:pPr>
    <w:rPr>
      <w:rFonts w:ascii="Aptos" w:hAnsi="Aptos"/>
      <w:b/>
      <w:color w:val="3AA6C1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ГАСМП «ЭКВИЛИБРИУМ» — стратегическая концепция</dc:title>
  <dc:subject>Глобальная аэрокосмическая система мониторинга, прогнозирования и раннего предупреждения</dc:subject>
  <dc:creator>Соколов Сергей Леонидович</dc:creator>
  <cp:keywords>ЭКВИЛИБРИУМ, ГАСМП, аэрокосмический мониторинг, прогнозирование, раннее предупреждение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