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spacing w:after="200"/>
      </w:pPr>
    </w:p>
    <w:p>
      <w:pPr>
        <w:pStyle w:val="Title"/>
        <w:jc w:val="center"/>
      </w:pPr>
      <w:r>
        <w:rPr>
          <w:rFonts w:ascii="Calibri" w:hAnsi="Calibri" w:eastAsia="Calibri"/>
          <w:b/>
          <w:i w:val="0"/>
          <w:color w:val="17365D"/>
          <w:sz w:val="56"/>
        </w:rPr>
        <w:t>РЕЕСТР ФОНДОВ</w:t>
      </w:r>
    </w:p>
    <w:p>
      <w:pPr>
        <w:pStyle w:val="Subtitle"/>
        <w:jc w:val="center"/>
      </w:pPr>
      <w:r>
        <w:rPr>
          <w:rFonts w:ascii="Calibri" w:hAnsi="Calibri" w:eastAsia="Calibri"/>
          <w:b w:val="0"/>
          <w:i w:val="0"/>
          <w:color w:val="5B6573"/>
          <w:sz w:val="28"/>
        </w:rPr>
        <w:t>Некоммерческого Потребительского Кооператива</w:t>
        <w:br/>
        <w:t>«Научно-производственное объединение «СПЕЦЗАЩИТА»</w:t>
      </w:r>
    </w:p>
    <w:p>
      <w:pPr>
        <w:spacing w:before="440" w:after="120"/>
        <w:jc w:val="center"/>
      </w:pPr>
      <w:r>
        <w:rPr>
          <w:rFonts w:ascii="Calibri" w:hAnsi="Calibri" w:eastAsia="Calibri"/>
          <w:b/>
          <w:i w:val="0"/>
          <w:color w:val="2E74B5"/>
          <w:sz w:val="22"/>
        </w:rPr>
        <w:t>Версия 1.0</w:t>
      </w:r>
    </w:p>
    <w:p>
      <w:pPr>
        <w:jc w:val="center"/>
      </w:pPr>
      <w:r>
        <w:rPr>
          <w:rFonts w:ascii="Calibri" w:hAnsi="Calibri" w:eastAsia="Calibri"/>
          <w:b w:val="0"/>
          <w:i w:val="0"/>
          <w:color w:val="5B6573"/>
          <w:sz w:val="21"/>
        </w:rPr>
        <w:t>26 августа 2026 года</w:t>
      </w:r>
    </w:p>
    <w:p>
      <w:pPr>
        <w:spacing w:after="160"/>
      </w:pPr>
    </w:p>
    <w:p>
      <w:pPr>
        <w:spacing w:after="160"/>
      </w:pPr>
    </w:p>
    <w:p>
      <w:pPr>
        <w:spacing w:after="160"/>
      </w:pPr>
    </w:p>
    <w:p>
      <w:pPr>
        <w:spacing w:after="160"/>
      </w:pPr>
    </w:p>
    <w:p>
      <w:pPr>
        <w:spacing w:after="160"/>
      </w:pP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024"/>
      </w:tblGrid>
      <w:tr>
        <w:tc>
          <w:tcPr>
            <w:tcW w:type="dxa" w:w="9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22"/>
              </w:rPr>
              <w:t xml:space="preserve">Основание. </w:t>
            </w:r>
            <w:r>
              <w:rPr>
                <w:rFonts w:ascii="Calibri" w:hAnsi="Calibri" w:eastAsia="Calibri"/>
                <w:b w:val="0"/>
                <w:i w:val="0"/>
                <w:color w:val="1F2937"/>
                <w:sz w:val="22"/>
              </w:rPr>
              <w:t>реестр составлен по документу «УСТАВ НПК НПО СПЕЦЗАЩИТА - формат для сайта ФОТО.pdf». Он отражает уставные конструкции, но не подтверждает фактическое создание, размер, остаток или наличие активов любого фонда.</w:t>
            </w:r>
          </w:p>
        </w:tc>
      </w:tr>
    </w:tbl>
    <w:p>
      <w:r>
        <w:br w:type="page"/>
      </w:r>
    </w:p>
    <w:p>
      <w:pPr>
        <w:pStyle w:val="Heading1"/>
      </w:pPr>
      <w:r>
        <w:t>1. Итоговая классификация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024"/>
      </w:tblGrid>
      <w:tr>
        <w:tc>
          <w:tcPr>
            <w:tcW w:type="dxa" w:w="9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22"/>
              </w:rPr>
              <w:t xml:space="preserve">Главный вывод. </w:t>
            </w:r>
            <w:r>
              <w:rPr>
                <w:rFonts w:ascii="Calibri" w:hAnsi="Calibri" w:eastAsia="Calibri"/>
                <w:b w:val="0"/>
                <w:i w:val="0"/>
                <w:color w:val="1F2937"/>
                <w:sz w:val="22"/>
              </w:rPr>
              <w:t>Устав прямо предусматривает восемь основных внутренних фондов: паевой, неделимый, фонд развития, фонд инвестиций и развития инфраструктуры, резервный, страховой, гарантийный-поручительский и фонд взаимопомощи членов. Фонд материальной поддержки определен отдельно, но не включен в перечень статьи 25.2.</w:t>
            </w:r>
          </w:p>
        </w:tc>
      </w:tr>
    </w:tbl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Статус записей Ф-001-Ф-008: </w:t>
      </w:r>
      <w:r>
        <w:rPr>
          <w:rFonts w:ascii="Calibri" w:hAnsi="Calibri" w:eastAsia="Calibri"/>
          <w:b w:val="0"/>
          <w:i w:val="0"/>
          <w:color w:val="1F2937"/>
          <w:sz w:val="22"/>
        </w:rPr>
        <w:t>предусмотрены Уставом; фактическое формирование и размер не подтверждены представленным документом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Статус записи Ф-009: </w:t>
      </w:r>
      <w:r>
        <w:rPr>
          <w:rFonts w:ascii="Calibri" w:hAnsi="Calibri" w:eastAsia="Calibri"/>
          <w:b w:val="0"/>
          <w:i w:val="0"/>
          <w:color w:val="1F2937"/>
          <w:sz w:val="22"/>
        </w:rPr>
        <w:t>определена Уставом и предусмотрена как цель деятельности; для операционного создания целесообразно решение Общего собрания как об «ином фонде»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Статус записей Ф-010-Ф-012: </w:t>
      </w:r>
      <w:r>
        <w:rPr>
          <w:rFonts w:ascii="Calibri" w:hAnsi="Calibri" w:eastAsia="Calibri"/>
          <w:b w:val="0"/>
          <w:i w:val="0"/>
          <w:color w:val="1F2937"/>
          <w:sz w:val="22"/>
        </w:rPr>
        <w:t>разрешенные или упомянутые типы будущих фондов; прямое учреждение Уставом не подтверждено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УМ-001: </w:t>
      </w:r>
      <w:r>
        <w:rPr>
          <w:rFonts w:ascii="Calibri" w:hAnsi="Calibri" w:eastAsia="Calibri"/>
          <w:b w:val="0"/>
          <w:i w:val="0"/>
          <w:color w:val="1F2937"/>
          <w:sz w:val="22"/>
        </w:rPr>
        <w:t>пай-фонд действительного члена - доля фонда развития и механизм учета/управления, а не самостоятельный общехозяйственный фонд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ПР-001: </w:t>
      </w:r>
      <w:r>
        <w:rPr>
          <w:rFonts w:ascii="Calibri" w:hAnsi="Calibri" w:eastAsia="Calibri"/>
          <w:b w:val="0"/>
          <w:i w:val="0"/>
          <w:color w:val="1F2937"/>
          <w:sz w:val="22"/>
        </w:rPr>
        <w:t>создание НПФ - программная цель, требующая отдельного правового и регулируемого контура</w:t>
      </w:r>
    </w:p>
    <w:p>
      <w:pPr>
        <w:pStyle w:val="Heading1"/>
      </w:pPr>
      <w:r>
        <w:t>2. Сводный реестр основных фондов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300"/>
        <w:gridCol w:w="1900"/>
        <w:gridCol w:w="2950"/>
        <w:gridCol w:w="1224"/>
      </w:tblGrid>
      <w:tr>
        <w:trPr>
          <w:tblHeader w:val="true"/>
        </w:trP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Код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Наименование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Статус</w:t>
            </w:r>
          </w:p>
        </w:tc>
        <w:tc>
          <w:tcPr>
            <w:tcW w:type="dxa" w:w="2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Основное назначение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Основание</w:t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Ф-001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Паевой фонд Кооператива (складочный капитал)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Прямо установлен Уставом; базовый имущественный фонд. Фактический размер и наличие активов требуют подтверждения учетными данными.</w:t>
            </w:r>
          </w:p>
        </w:tc>
        <w:tc>
          <w:tcPr>
            <w:tcW w:type="dxa" w:w="2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Один из основных источников формирования имущества Кооператива.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ст. 1, стр. 3; пп. 20.3, 21.1-21.6, стр. 22-23; п. 25.1, стр. 24; п. 32.6, стр. 26</w:t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Ф-002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Неделимый фонд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Прямо предусмотрен Уставом; часть паевого фонда, не распределяемая между пайщиками.</w:t>
            </w:r>
          </w:p>
        </w:tc>
        <w:tc>
          <w:tcPr>
            <w:tcW w:type="dxa" w:w="2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Сохранение обособленной части имущества Кооператива, которая не подлежит распределению между пайщиками.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ст. 1, стр. 3; пп. 25.2-25.3, стр. 24; пп. 32.4, 32.6, стр. 26</w:t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Ф-003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Фонд развития Кооператива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Прямо предусмотрен Уставом; назван частью паевого фонда и одновременно имуществом особого статуса.</w:t>
            </w:r>
          </w:p>
        </w:tc>
        <w:tc>
          <w:tcPr>
            <w:tcW w:type="dxa" w:w="2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Развитие систем передачи данных, перевозки товаров и документов, оказание услуг, финансовые и иные расчеты, решение производственных и организационных задач; материальная и финансовая основа проектов Кооператива.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ст. 1, стр. 3-4; п. 2.6, стр. 5; п. 20.4, стр. 22; пп. 22.1-24.7, стр. 23-24; п. 32.5, стр. 26</w:t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Ф-004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Фонд инвестиций и развития инфраструктуры Кооператива (Инвестиционный фонд Кооператива)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Прямо предусмотрен Уставом; целевой имущественный фонд особого статуса.</w:t>
            </w:r>
          </w:p>
        </w:tc>
        <w:tc>
          <w:tcPr>
            <w:tcW w:type="dxa" w:w="2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Комплексное развитие рыночной и иной инфраструктуры прямого взаимодействия потребителя и производителя, развитие инвестиционной активности потребителя, включая создание собственности потребителя на средства производства.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ст. 1, стр. 3; пп. 25.2-25.3, стр. 24</w:t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Ф-005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Резервный фонд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Прямо предусмотрен Уставом; внутренний резерв покрытия потерь.</w:t>
            </w:r>
          </w:p>
        </w:tc>
        <w:tc>
          <w:tcPr>
            <w:tcW w:type="dxa" w:w="2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Покрытие затрат и убытков от чрезвычайных обстоятельств; покрытие образовавшихся убытков Кооператива после утверждения годового баланса.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ст. 1, стр. 3; пп. 25.2-25.3, 26.1, 27.3, стр. 24-25</w:t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Ф-006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Страховой фонд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Прямо предусмотрен Уставом; внутренний фонд покрытия рисков деятельности Кооператива.</w:t>
            </w:r>
          </w:p>
        </w:tc>
        <w:tc>
          <w:tcPr>
            <w:tcW w:type="dxa" w:w="2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Страхование различных рисков, связанных с деятельностью Кооператива.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ст. 1, стр. 3; пп. 25.2-25.3, стр. 24</w:t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Ф-007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Гарантийный-поручительский фонд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Прямо включен в перечень фондов статьи 25.2; специальный фонд обеспечения обязательств.</w:t>
            </w:r>
          </w:p>
        </w:tc>
        <w:tc>
          <w:tcPr>
            <w:tcW w:type="dxa" w:w="2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Обеспечение гарантийных и поручительских обязательств Кооператива и/или его членов в пределах отдельного положения и договоров.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п. 23.2, стр. 23; пп. 25.2-25.3, стр. 24</w:t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Ф-008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Фонд взаимопомощи членов Кооператива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Прямо включен в перечень фондов статьи 25.2; внутренний социально-финансовый фонд.</w:t>
            </w:r>
          </w:p>
        </w:tc>
        <w:tc>
          <w:tcPr>
            <w:tcW w:type="dxa" w:w="2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Взаимопомощь членам Кооператива. Конкретные формы помощи Уставом не раскрыты.</w:t>
            </w:r>
          </w:p>
        </w:tc>
        <w:tc>
          <w:tcPr>
            <w:tcW w:type="dxa" w:w="12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6"/>
              </w:rPr>
              <w:t>пп. 25.2-25.3, стр. 24; цели взаимопомощи также отражены в ст. 3, стр. 6-8</w:t>
            </w:r>
          </w:p>
        </w:tc>
      </w:tr>
    </w:tbl>
    <w:p/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024"/>
      </w:tblGrid>
      <w:tr>
        <w:tc>
          <w:tcPr>
            <w:tcW w:type="dxa" w:w="9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2F4F7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22"/>
              </w:rPr>
              <w:t xml:space="preserve">Единое правило статьи 25.3. </w:t>
            </w:r>
            <w:r>
              <w:rPr>
                <w:rFonts w:ascii="Calibri" w:hAnsi="Calibri" w:eastAsia="Calibri"/>
                <w:b w:val="0"/>
                <w:i w:val="0"/>
                <w:color w:val="1F2937"/>
                <w:sz w:val="22"/>
              </w:rPr>
              <w:t>размеры, порядок формирования и использования фондов должны устанавливаться положениями, утверждаемыми Общим собранием по представлению Совета Кооператива.</w:t>
            </w:r>
          </w:p>
        </w:tc>
      </w:tr>
    </w:tbl>
    <w:p>
      <w:r>
        <w:br w:type="page"/>
      </w:r>
    </w:p>
    <w:p>
      <w:pPr>
        <w:pStyle w:val="Heading1"/>
      </w:pPr>
      <w:r>
        <w:t>3. Паспорта основных фондов</w:t>
      </w:r>
    </w:p>
    <w:p>
      <w:pPr>
        <w:spacing w:after="200"/>
      </w:pPr>
      <w:r>
        <w:t>Каждый паспорт отделяет прямое содержание Устава от вопросов, которые должны быть урегулированы внутренним положением и подтверждены учетными документами.</w:t>
      </w:r>
    </w:p>
    <w:p>
      <w:pPr>
        <w:pStyle w:val="Heading2"/>
      </w:pPr>
      <w:r>
        <w:t>Ф-001  Паевой фонд Кооператива (складочный капитал)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6974"/>
      </w:tblGrid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Уставный статус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Прямо установлен Уставом; базовый имущественный фонд. Фактический размер и наличие активов требуют подтверждения учетными данными.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Источники формирования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Паевые взносы; по определению статьи 1 также ежегодные, добровольные и другие взносы в паевой фонд. Паевой взнос допускается деньгами, ценными бумагами, землей, иным имуществом, имущественными и другими правами, имеющими денежную оценку.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Назначение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Один из основных источников формирования имущества Кооператива.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Решения и управление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Размеры вступительного и паевого взносов и порядок их внесения определяет Общее собрание. Совет может предоставить рассрочку. Положение о фонде принимается по общей процедуре статьи 25.3.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Ограничения и контроль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Вступительный взнос в паевой фонд не входит и при выходе не возвращается. Вступительный взнос не дает права на кооперативные выплаты. На вступительные и паевые взносы, а также целевые вклады нельзя обращать взыскание по личным долгам пайщика.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Режим при ликвидации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Остаточное имущество, кроме неделимого фонда, распределяется после расчетов с кредиторами по правилам статьи 32.6; расчеты с членами зависят от режима конкретного имущества и паевых прав.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Ключевая неоднозначность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 статье 1 и пункте 25.1 перечень источников сформулирован неодинаково; порядок отражения ежегодных и добровольных взносов следует закрепить в положении и учетной политике.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Основание по Уставу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ст. 1, стр. 3; пп. 20.3, 21.1-21.6, стр. 22-23; п. 25.1, стр. 24; п. 32.6, стр. 26</w:t>
            </w:r>
          </w:p>
        </w:tc>
      </w:tr>
    </w:tbl>
    <w:p>
      <w:pPr>
        <w:spacing w:before="160" w:after="0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Рекомендуемый статус в рабочем реестре: </w:t>
      </w:r>
      <w:r>
        <w:rPr>
          <w:rFonts w:ascii="Calibri" w:hAnsi="Calibri" w:eastAsia="Calibri"/>
          <w:b w:val="0"/>
          <w:i/>
          <w:color w:val="1F2937"/>
          <w:sz w:val="22"/>
        </w:rPr>
        <w:t>«Предусмотрен Уставом; фактическое формирование и размер не подтверждены».</w:t>
      </w:r>
    </w:p>
    <w:p>
      <w:r>
        <w:br w:type="page"/>
      </w:r>
    </w:p>
    <w:p>
      <w:pPr>
        <w:pStyle w:val="Heading2"/>
      </w:pPr>
      <w:r>
        <w:t>Ф-002  Неделимый фонд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6974"/>
      </w:tblGrid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Уставный статус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Прямо предусмотрен Уставом; часть паевого фонда, не распределяемая между пайщиками.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Источники формирования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Выделяется из паевого фонда; иные источники и норматив пополнения Уставом не установлены.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Назначение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Сохранение обособленной части имущества Кооператива, которая не подлежит распределению между пайщиками.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Решения и управление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Определение статьи 1 допускает решение Совета либо Общего собрания о создании и порядке формирования. Общая норма пункта 25.3 требует положения, утверждаемого Общим собранием по представлению Совета.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Ограничения и контроль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Не распределяется между пайщиками. Необходимо отдельно определить состав активов, правила замены имущества и порядок документального отнесения актива к фонду.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Режим при ликвидации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При ликвидации разделу не подлежит и передается другому потребительскому обществу или кооперативу по решению Общего собрания.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Ключевая неоднозначность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Есть процедурная неоднозначность между полномочием Совета в определении статьи 1 и общей компетенцией Общего собрания по пункту 25.3.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Основание по Уставу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ст. 1, стр. 3; пп. 25.2-25.3, стр. 24; пп. 32.4, 32.6, стр. 26</w:t>
            </w:r>
          </w:p>
        </w:tc>
      </w:tr>
    </w:tbl>
    <w:p>
      <w:pPr>
        <w:spacing w:before="160" w:after="0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Рекомендуемый статус в рабочем реестре: </w:t>
      </w:r>
      <w:r>
        <w:rPr>
          <w:rFonts w:ascii="Calibri" w:hAnsi="Calibri" w:eastAsia="Calibri"/>
          <w:b w:val="0"/>
          <w:i/>
          <w:color w:val="1F2937"/>
          <w:sz w:val="22"/>
        </w:rPr>
        <w:t>«Предусмотрен Уставом; фактическое формирование и размер не подтверждены».</w:t>
      </w:r>
    </w:p>
    <w:p>
      <w:r>
        <w:br w:type="page"/>
      </w:r>
    </w:p>
    <w:p>
      <w:pPr>
        <w:pStyle w:val="Heading2"/>
      </w:pPr>
      <w:r>
        <w:t>Ф-003  Фонд развития Кооператива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6974"/>
      </w:tblGrid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Уставный статус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Прямо предусмотрен Уставом; назван частью паевого фонда и одновременно имуществом особого статуса.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Источники формирования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Добровольные целевые возвратные и невозвратные взносы; целевые паевые взносы; взносы на развитие Кооператива (ВРК); имущество проектов и пайщиков, переданное в управление в предусмотренном документами порядке.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Назначение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Развитие систем передачи данных, перевозки товаров и документов, оказание услуг, финансовые и иные расчеты, решение производственных и организационных задач; материальная и финансовая основа проектов Кооператива.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Решения и управление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Положение о фонде принимает Общее собрание. Действительные члены участвуют в управлении через пай-фонды; ассоциированные члены учитываются на текущих счетах и счетах-депо без права образовать пай-фонд. Система учета может обслуживаться назначенным Советом доверительным управляющим.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Ограничения и контроль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Для каждого взноса должны быть определены проект, возвратность, форма, оценка неденежного вклада и условия возврата. Устав упоминает руководящие органы фонда, но не определяет их состав и компетенцию.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Режим при ликвидации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Имущество, образованное за счет целевых паев, подлежит разделу с учетом размеров и содержания пай-фондов действительных членов и счетов ассоциированных членов на дату решения о ликвидации.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Ключевая неоднозначность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Устав одновременно использует конструкции части паевого фонда, имущества пайщиков в управлении и имущества Кооператива особого статуса. Требуется однозначно закрепить право собственности, балансовый учет, оценку и режим возврата каждого вида актива.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Основание по Уставу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ст. 1, стр. 3-4; п. 2.6, стр. 5; п. 20.4, стр. 22; пп. 22.1-24.7, стр. 23-24; п. 32.5, стр. 26</w:t>
            </w:r>
          </w:p>
        </w:tc>
      </w:tr>
    </w:tbl>
    <w:p>
      <w:pPr>
        <w:spacing w:before="160" w:after="0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Рекомендуемый статус в рабочем реестре: </w:t>
      </w:r>
      <w:r>
        <w:rPr>
          <w:rFonts w:ascii="Calibri" w:hAnsi="Calibri" w:eastAsia="Calibri"/>
          <w:b w:val="0"/>
          <w:i/>
          <w:color w:val="1F2937"/>
          <w:sz w:val="22"/>
        </w:rPr>
        <w:t>«Предусмотрен Уставом; фактическое формирование и размер не подтверждены».</w:t>
      </w:r>
    </w:p>
    <w:p>
      <w:r>
        <w:br w:type="page"/>
      </w:r>
    </w:p>
    <w:p>
      <w:pPr>
        <w:pStyle w:val="Heading2"/>
      </w:pPr>
      <w:r>
        <w:t>Ф-004  Фонд инвестиций и развития инфраструктуры Кооператива (Инвестиционный фонд Кооператива)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6974"/>
      </w:tblGrid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Уставный статус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Прямо предусмотрен Уставом; целевой имущественный фонд особого статуса.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Источники формирования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Целевые взносы пайщиков; конкретный порядок, допустимые активы и нормативы должны быть установлены отдельным положением и договорами.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Назначение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Комплексное развитие рыночной и иной инфраструктуры прямого взаимодействия потребителя и производителя, развитие инвестиционной активности потребителя, включая создание собственности потребителя на средства производства.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Решения и управление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Статья 1 связывает создание с положениями и договорами, утверждаемыми Советом. Пункт 25.3 требует утверждения положения Общим собранием по представлению Совета. Безопасная организационная модель: положение утверждает Общее собрание, Совет реализует его и утверждает конкретные сделки в пределах компетенции.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Ограничения и контроль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Нужны инвестиционная политика, перечень разрешенных инструментов, лимиты концентрации и ликвидности, оценка активов, конфликт интересов, хранение имущества и отчетность по результатам.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Режим при ликвидации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Специальный порядок отдельно не установлен; применяется режим имущества Кооператива, договоров и решений, которыми сформирован фонд.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Ключевая неоднозначность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Наименование «Инвестиционный фонд» не должно создавать впечатление о наличии статуса регулируемого инвестиционного фонда; правовая квалификация операций определяется их фактическим содержанием.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Основание по Уставу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ст. 1, стр. 3; пп. 25.2-25.3, стр. 24</w:t>
            </w:r>
          </w:p>
        </w:tc>
      </w:tr>
    </w:tbl>
    <w:p>
      <w:pPr>
        <w:spacing w:before="160" w:after="0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Рекомендуемый статус в рабочем реестре: </w:t>
      </w:r>
      <w:r>
        <w:rPr>
          <w:rFonts w:ascii="Calibri" w:hAnsi="Calibri" w:eastAsia="Calibri"/>
          <w:b w:val="0"/>
          <w:i/>
          <w:color w:val="1F2937"/>
          <w:sz w:val="22"/>
        </w:rPr>
        <w:t>«Предусмотрен Уставом; фактическое формирование и размер не подтверждены».</w:t>
      </w:r>
    </w:p>
    <w:p>
      <w:r>
        <w:br w:type="page"/>
      </w:r>
    </w:p>
    <w:p>
      <w:pPr>
        <w:pStyle w:val="Heading2"/>
      </w:pPr>
      <w:r>
        <w:t>Ф-005  Резервный фонд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6974"/>
      </w:tblGrid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Уставный статус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Прямо предусмотрен Уставом; внутренний резерв покрытия потерь.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Источники формирования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Специальный источник не назван. Доходы после обязательных платежей могут направляться в фонды Кооператива по пункту 26.1. Недостаток резерва для покрытия убытков восполняется дополнительными взносами действительных членов по решению Общего собрания.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Назначение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Покрытие затрат и убытков от чрезвычайных обстоятельств; покрытие образовавшихся убытков Кооператива после утверждения годового баланса.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Решения и управление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Порядок формирования и использования устанавливается Уставом и положением, утверждаемым Общим собранием по представлению Совета. Убытки должны быть покрыты в течение трех месяцев после утверждения годового баланса.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Ограничения и контроль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Следует установить целевой и минимальный размеры, перечень покрываемых событий, лимиты использования, порядок восстановления и запрет расходования на обычные операционные цели без специального решения.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Режим при ликвидации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Отдельный режим не установлен; остаток учитывается в общем имуществе Кооператива после исполнения обязательств.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Ключевая неоднозначность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Устав не устанавливает норматив отчислений и достаточности; без положения невозможно проверить, является ли резерв реально сформированным и достаточным.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Основание по Уставу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ст. 1, стр. 3; пп. 25.2-25.3, 26.1, 27.3, стр. 24-25</w:t>
            </w:r>
          </w:p>
        </w:tc>
      </w:tr>
    </w:tbl>
    <w:p>
      <w:pPr>
        <w:spacing w:before="160" w:after="0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Рекомендуемый статус в рабочем реестре: </w:t>
      </w:r>
      <w:r>
        <w:rPr>
          <w:rFonts w:ascii="Calibri" w:hAnsi="Calibri" w:eastAsia="Calibri"/>
          <w:b w:val="0"/>
          <w:i/>
          <w:color w:val="1F2937"/>
          <w:sz w:val="22"/>
        </w:rPr>
        <w:t>«Предусмотрен Уставом; фактическое формирование и размер не подтверждены».</w:t>
      </w:r>
    </w:p>
    <w:p>
      <w:r>
        <w:br w:type="page"/>
      </w:r>
    </w:p>
    <w:p>
      <w:pPr>
        <w:pStyle w:val="Heading2"/>
      </w:pPr>
      <w:r>
        <w:t>Ф-006  Страховой фонд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6974"/>
      </w:tblGrid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Уставный статус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Прямо предусмотрен Уставом; внутренний фонд покрытия рисков деятельности Кооператива.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Источники формирования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Уставом не определены; должны быть установлены положением и бюджетом фонда.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Назначение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Страхование различных рисков, связанных с деятельностью Кооператива.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Решения и управление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Формирование и использование регулируются Уставом и отдельным положением, утверждаемым Общим собранием по представлению Совета.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Ограничения и контроль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Необходимо определить объекты и события, метод оценки риска, лимиты, исключения, порядок принятия решения о выплате, получателей и восстановление фонда.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Режим при ликвидации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Отдельный режим не установлен; неисполненные обязательства и остаток должны рассматриваться с учетом договоров и общего порядка ликвидации.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Ключевая неоднозначность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Внутренний страховой фонд сам по себе не предоставляет Кооперативу права на лицензируемую страховую деятельность.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Основание по Уставу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ст. 1, стр. 3; пп. 25.2-25.3, стр. 24</w:t>
            </w:r>
          </w:p>
        </w:tc>
      </w:tr>
    </w:tbl>
    <w:p>
      <w:pPr>
        <w:spacing w:before="160" w:after="0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Рекомендуемый статус в рабочем реестре: </w:t>
      </w:r>
      <w:r>
        <w:rPr>
          <w:rFonts w:ascii="Calibri" w:hAnsi="Calibri" w:eastAsia="Calibri"/>
          <w:b w:val="0"/>
          <w:i/>
          <w:color w:val="1F2937"/>
          <w:sz w:val="22"/>
        </w:rPr>
        <w:t>«Предусмотрен Уставом; фактическое формирование и размер не подтверждены».</w:t>
      </w:r>
    </w:p>
    <w:p>
      <w:r>
        <w:br w:type="page"/>
      </w:r>
    </w:p>
    <w:p>
      <w:pPr>
        <w:pStyle w:val="Heading2"/>
      </w:pPr>
      <w:r>
        <w:t>Ф-007  Гарантийный-поручительский фонд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6974"/>
      </w:tblGrid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Уставный статус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Прямо включен в перечень фондов статьи 25.2; специальный фонд обеспечения обязательств.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Источники формирования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Уставом отдельно не раскрыты. Пункт 23.2 выделяет отношения в рамках фонда как исключение из общего режима невозвратных целевых взносов.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Назначение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Обеспечение гарантийных и поручительских обязательств Кооператива и/или его членов в пределах отдельного положения и договоров.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Решения и управление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Размер, порядок формирования и использования должны быть установлены положением, утвержденным Общим собранием по представлению Совета. Каждое обязательство требует отдельного решения и учета условного риска.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Ограничения и контроль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Нужны критерии получателей, лимиты на одного участника и совокупный портфель, обеспечение, срок, регресс, оценка вероятности исполнения и резерв под выданные обязательства.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Режим при ликвидации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При ликвидации прежде всего учитываются действующие гарантии, поручительства и требования кредиторов; отдельный уставный порядок не установлен.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Ключевая неоднозначность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Без специального положения невозможно определить объем прямых финансовых обязательств и достаточность обеспечения фонда.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Основание по Уставу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п. 23.2, стр. 23; пп. 25.2-25.3, стр. 24</w:t>
            </w:r>
          </w:p>
        </w:tc>
      </w:tr>
    </w:tbl>
    <w:p>
      <w:pPr>
        <w:spacing w:before="160" w:after="0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Рекомендуемый статус в рабочем реестре: </w:t>
      </w:r>
      <w:r>
        <w:rPr>
          <w:rFonts w:ascii="Calibri" w:hAnsi="Calibri" w:eastAsia="Calibri"/>
          <w:b w:val="0"/>
          <w:i/>
          <w:color w:val="1F2937"/>
          <w:sz w:val="22"/>
        </w:rPr>
        <w:t>«Предусмотрен Уставом; фактическое формирование и размер не подтверждены».</w:t>
      </w:r>
    </w:p>
    <w:p>
      <w:r>
        <w:br w:type="page"/>
      </w:r>
    </w:p>
    <w:p>
      <w:pPr>
        <w:pStyle w:val="Heading2"/>
      </w:pPr>
      <w:r>
        <w:t>Ф-008  Фонд взаимопомощи членов Кооператива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6974"/>
      </w:tblGrid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Уставный статус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Прямо включен в перечень фондов статьи 25.2; внутренний социально-финансовый фонд.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Источники формирования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Уставом не определены; должны быть закреплены решением и положением фонда.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Назначение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Взаимопомощь членам Кооператива. Конкретные формы помощи Уставом не раскрыты.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Решения и управление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Положение утверждает Общее собрание по представлению Совета. В положении нужно разграничить безвозвратную помощь, возвратную помощь, беспроцентные займы и иные формы поддержки.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Ограничения и контроль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Следует определить круг получателей, основания нуждаемости, лимиты, возвратность, сроки, документы, конфликт интересов и порядок контроля целевого использования.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Режим при ликвидации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Отдельный режим не установлен; обязательства перед получателями и остаток рассматриваются по документам фонда и общему порядку ликвидации.</w:t>
            </w:r>
          </w:p>
        </w:tc>
      </w:tr>
      <w:tr>
        <w:tc>
          <w:tcPr>
            <w:tcW w:type="dxa" w:w="205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Ключевая неоднозначность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Функционально пересекается с фондом материальной поддержки, однако Устав использует разные названия; объединять их без отдельного решения нельзя.</w:t>
            </w:r>
          </w:p>
        </w:tc>
      </w:tr>
      <w:tr>
        <w:tc>
          <w:tcPr>
            <w:tcW w:type="dxa" w:w="2050"/>
            <w:shd w:fill="F2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18"/>
              </w:rPr>
              <w:t>Основание по Уставу</w:t>
            </w:r>
          </w:p>
        </w:tc>
        <w:tc>
          <w:tcPr>
            <w:tcW w:type="dxa" w:w="697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пп. 25.2-25.3, стр. 24; цели взаимопомощи также отражены в ст. 3, стр. 6-8</w:t>
            </w:r>
          </w:p>
        </w:tc>
      </w:tr>
    </w:tbl>
    <w:p>
      <w:pPr>
        <w:spacing w:before="160" w:after="0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Рекомендуемый статус в рабочем реестре: </w:t>
      </w:r>
      <w:r>
        <w:rPr>
          <w:rFonts w:ascii="Calibri" w:hAnsi="Calibri" w:eastAsia="Calibri"/>
          <w:b w:val="0"/>
          <w:i/>
          <w:color w:val="1F2937"/>
          <w:sz w:val="22"/>
        </w:rPr>
        <w:t>«Предусмотрен Уставом; фактическое формирование и размер не подтверждены».</w:t>
      </w:r>
    </w:p>
    <w:p>
      <w:r>
        <w:br w:type="page"/>
      </w:r>
    </w:p>
    <w:p>
      <w:pPr>
        <w:pStyle w:val="Heading1"/>
      </w:pPr>
      <w:r>
        <w:t>4. Дополнительные фонды и фондовые конструкции</w:t>
      </w:r>
    </w:p>
    <w:p>
      <w:pPr>
        <w:pStyle w:val="Heading2"/>
      </w:pPr>
      <w:r>
        <w:t>Ф-009  Фонд материальной поддержки членов Кооператива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Классификация: </w:t>
      </w:r>
      <w:r>
        <w:rPr>
          <w:rFonts w:ascii="Calibri" w:hAnsi="Calibri" w:eastAsia="Calibri"/>
          <w:b w:val="0"/>
          <w:i w:val="0"/>
          <w:color w:val="1F2937"/>
          <w:sz w:val="22"/>
        </w:rPr>
        <w:t>Дополнительно определенный фонд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Статус: </w:t>
      </w:r>
      <w:r>
        <w:rPr>
          <w:rFonts w:ascii="Calibri" w:hAnsi="Calibri" w:eastAsia="Calibri"/>
          <w:b w:val="0"/>
          <w:i w:val="0"/>
          <w:color w:val="1F2937"/>
          <w:sz w:val="22"/>
        </w:rPr>
        <w:t>Определен в статье 1 и предусмотрен как цель деятельности, но отдельно не включен в перечень пункта 25.2.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Описание: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Целевые взносы членов, направленные на материальную поддержку участников целевых паевых объединений - проектов Кооператива. Практически его следует учреждать как «иной фонд» решением Общего собрания и отдельным положением.</w:t>
      </w:r>
    </w:p>
    <w:p>
      <w:pPr>
        <w:spacing w:before="0" w:after="16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Основание: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ст. 1, стр. 4; п. 3.2, стр. 6; пп. 25.2-25.3, стр. 24</w:t>
      </w:r>
    </w:p>
    <w:p>
      <w:pPr>
        <w:pStyle w:val="Heading2"/>
      </w:pPr>
      <w:r>
        <w:t>Ф-010  Целевой резервный фонд (тип)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Классификация: </w:t>
      </w:r>
      <w:r>
        <w:rPr>
          <w:rFonts w:ascii="Calibri" w:hAnsi="Calibri" w:eastAsia="Calibri"/>
          <w:b w:val="0"/>
          <w:i w:val="0"/>
          <w:color w:val="1F2937"/>
          <w:sz w:val="22"/>
        </w:rPr>
        <w:t>Возможный будущий фонд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Статус: </w:t>
      </w:r>
      <w:r>
        <w:rPr>
          <w:rFonts w:ascii="Calibri" w:hAnsi="Calibri" w:eastAsia="Calibri"/>
          <w:b w:val="0"/>
          <w:i w:val="0"/>
          <w:color w:val="1F2937"/>
          <w:sz w:val="22"/>
        </w:rPr>
        <w:t>Упомянут в разрешительном перечне видов собственных фондов развития; как отдельный фонд не учрежден статьей 25.2.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Описание: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Формулировка Устава дана как «целевые резервные» без отдельного регулирования. Для создания нужны решение Общего собрания, официальное наименование и положение, устраняющее пересечение с резервным и целевыми проектными контурами.</w:t>
      </w:r>
    </w:p>
    <w:p>
      <w:pPr>
        <w:spacing w:before="0" w:after="16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Основание: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п. 3.3, стр. 8; пп. 25.2-25.3, стр. 24</w:t>
      </w:r>
    </w:p>
    <w:p>
      <w:pPr>
        <w:pStyle w:val="Heading2"/>
      </w:pPr>
      <w:r>
        <w:t>Ф-011  Накопительный фонд (тип)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Классификация: </w:t>
      </w:r>
      <w:r>
        <w:rPr>
          <w:rFonts w:ascii="Calibri" w:hAnsi="Calibri" w:eastAsia="Calibri"/>
          <w:b w:val="0"/>
          <w:i w:val="0"/>
          <w:color w:val="1F2937"/>
          <w:sz w:val="22"/>
        </w:rPr>
        <w:t>Возможный будущий фонд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Статус: </w:t>
      </w:r>
      <w:r>
        <w:rPr>
          <w:rFonts w:ascii="Calibri" w:hAnsi="Calibri" w:eastAsia="Calibri"/>
          <w:b w:val="0"/>
          <w:i w:val="0"/>
          <w:color w:val="1F2937"/>
          <w:sz w:val="22"/>
        </w:rPr>
        <w:t>Допускается видом деятельности, но не учрежден прямым перечнем статьи 25.2.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Описание: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Устав не определяет цели, источники, условия накопления и выплаты. Может быть создан как иной фонд только после утверждения Общим собранием отдельного положения.</w:t>
      </w:r>
    </w:p>
    <w:p>
      <w:pPr>
        <w:spacing w:before="0" w:after="16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Основание: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п. 3.3, стр. 8; пп. 25.2-25.3, стр. 24</w:t>
      </w:r>
    </w:p>
    <w:p>
      <w:pPr>
        <w:pStyle w:val="Heading2"/>
      </w:pPr>
      <w:r>
        <w:t>Ф-012  Пенсионный фонд (внутренний тип)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Классификация: </w:t>
      </w:r>
      <w:r>
        <w:rPr>
          <w:rFonts w:ascii="Calibri" w:hAnsi="Calibri" w:eastAsia="Calibri"/>
          <w:b w:val="0"/>
          <w:i w:val="0"/>
          <w:color w:val="1F2937"/>
          <w:sz w:val="22"/>
        </w:rPr>
        <w:t>Возможный будущий фонд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Статус: </w:t>
      </w:r>
      <w:r>
        <w:rPr>
          <w:rFonts w:ascii="Calibri" w:hAnsi="Calibri" w:eastAsia="Calibri"/>
          <w:b w:val="0"/>
          <w:i w:val="0"/>
          <w:color w:val="1F2937"/>
          <w:sz w:val="22"/>
        </w:rPr>
        <w:t>Упомянут среди возможных собственных фондов развития; фактическое создание не подтверждается Уставом.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Описание: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Необходимо отличать внутренний имущественный контур от отдельно регулируемого негосударственного пенсионного фонда.</w:t>
      </w:r>
    </w:p>
    <w:p>
      <w:pPr>
        <w:spacing w:before="0" w:after="16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Основание: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п. 3.3, стр. 8</w:t>
      </w:r>
    </w:p>
    <w:p>
      <w:pPr>
        <w:pStyle w:val="Heading2"/>
      </w:pPr>
      <w:r>
        <w:t>Ф-999  Иные фонды по решению Общего собрания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Классификация: </w:t>
      </w:r>
      <w:r>
        <w:rPr>
          <w:rFonts w:ascii="Calibri" w:hAnsi="Calibri" w:eastAsia="Calibri"/>
          <w:b w:val="0"/>
          <w:i w:val="0"/>
          <w:color w:val="1F2937"/>
          <w:sz w:val="22"/>
        </w:rPr>
        <w:t>Открытая уставная категория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Статус: </w:t>
      </w:r>
      <w:r>
        <w:rPr>
          <w:rFonts w:ascii="Calibri" w:hAnsi="Calibri" w:eastAsia="Calibri"/>
          <w:b w:val="0"/>
          <w:i w:val="0"/>
          <w:color w:val="1F2937"/>
          <w:sz w:val="22"/>
        </w:rPr>
        <w:t>Устав разрешает создавать дополнительные фонды по решению Общего собрания.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Описание: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Каждый новый фонд должен получать отдельный код, решение о создании, положение, бюджет, правила учета и контроля; запись Ф-999 служит только рамочной категорией, а не балансодержателем.</w:t>
      </w:r>
    </w:p>
    <w:p>
      <w:pPr>
        <w:spacing w:before="0" w:after="16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Основание: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п. 5.2, стр. 11; пп. 25.2-25.3, стр. 24</w:t>
      </w:r>
    </w:p>
    <w:p>
      <w:pPr>
        <w:pStyle w:val="Heading2"/>
      </w:pPr>
      <w:r>
        <w:t>УМ-001  Пай-фонд действительного члена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Классификация: </w:t>
      </w:r>
      <w:r>
        <w:rPr>
          <w:rFonts w:ascii="Calibri" w:hAnsi="Calibri" w:eastAsia="Calibri"/>
          <w:b w:val="0"/>
          <w:i w:val="0"/>
          <w:color w:val="1F2937"/>
          <w:sz w:val="22"/>
        </w:rPr>
        <w:t>Учетно-управленческий механизм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Статус: </w:t>
      </w:r>
      <w:r>
        <w:rPr>
          <w:rFonts w:ascii="Calibri" w:hAnsi="Calibri" w:eastAsia="Calibri"/>
          <w:b w:val="0"/>
          <w:i w:val="0"/>
          <w:color w:val="1F2937"/>
          <w:sz w:val="22"/>
        </w:rPr>
        <w:t>Не является самостоятельным общехозяйственным фондом Кооператива.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Описание: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Доля фонда развития, передаваемая в управление действительному члену и учитываемая на внутреннем пай/счете. Ассоциированные члены имеют текущие счета и счета-депо, но не образуют пай-фонд и не участвуют в управлении фондом развития.</w:t>
      </w:r>
    </w:p>
    <w:p>
      <w:pPr>
        <w:spacing w:before="0" w:after="16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Основание: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ст. 1, стр. 4; п. 9.1, стр. 13; п. 12.3, стр. 16; пп. 24.2-24.7, стр. 23-24; п. 32.5, стр. 26</w:t>
      </w:r>
    </w:p>
    <w:p>
      <w:pPr>
        <w:pStyle w:val="Heading2"/>
      </w:pPr>
      <w:r>
        <w:t>ПР-001  Проект создания негосударственного пенсионного фонда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Классификация: </w:t>
      </w:r>
      <w:r>
        <w:rPr>
          <w:rFonts w:ascii="Calibri" w:hAnsi="Calibri" w:eastAsia="Calibri"/>
          <w:b w:val="0"/>
          <w:i w:val="0"/>
          <w:color w:val="1F2937"/>
          <w:sz w:val="22"/>
        </w:rPr>
        <w:t>Программная цель / отдельный правовой контур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Статус: </w:t>
      </w:r>
      <w:r>
        <w:rPr>
          <w:rFonts w:ascii="Calibri" w:hAnsi="Calibri" w:eastAsia="Calibri"/>
          <w:b w:val="0"/>
          <w:i w:val="0"/>
          <w:color w:val="1F2937"/>
          <w:sz w:val="22"/>
        </w:rPr>
        <w:t>Устав предусматривает цель создания НПФ, но не подтверждает наличие действующего фонда.</w:t>
      </w:r>
    </w:p>
    <w:p>
      <w:pPr>
        <w:spacing w:before="0" w:after="8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Описание: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Формулировка относится к будущему проекту для пайщиков и сотрудников. Реализация требует отдельной организационно-правовой и регулируемой модели; запись в Уставе НПК сама по себе НПФ не создает.</w:t>
      </w:r>
    </w:p>
    <w:p>
      <w:pPr>
        <w:spacing w:before="0" w:after="16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Основание: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п. 3.2, стр. 7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024"/>
      </w:tblGrid>
      <w:tr>
        <w:tc>
          <w:tcPr>
            <w:tcW w:type="dxa" w:w="9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2F4F7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22"/>
              </w:rPr>
              <w:t xml:space="preserve">Не включается в реестр как финансовый фонд. </w:t>
            </w:r>
            <w:r>
              <w:rPr>
                <w:rFonts w:ascii="Calibri" w:hAnsi="Calibri" w:eastAsia="Calibri"/>
                <w:b w:val="0"/>
                <w:i w:val="0"/>
                <w:color w:val="1F2937"/>
                <w:sz w:val="22"/>
              </w:rPr>
              <w:t>термин «промышленный фонд» на странице 9 используется в контексте эксплуатации производственных активов; «фондовые и рыночные механизмы» являются характеристикой механизмов хозяйствования. Эти выражения не образуют самостоятельные фонды Кооператива.</w:t>
            </w:r>
          </w:p>
        </w:tc>
      </w:tr>
    </w:tbl>
    <w:p>
      <w:r>
        <w:br w:type="page"/>
      </w:r>
    </w:p>
    <w:p>
      <w:pPr>
        <w:pStyle w:val="Heading1"/>
      </w:pPr>
      <w:r>
        <w:t>5. Органы решений, учета и контроля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5700"/>
        <w:gridCol w:w="1624"/>
      </w:tblGrid>
      <w:tr>
        <w:trPr>
          <w:tblHeader w:val="true"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Контур</w:t>
            </w:r>
          </w:p>
        </w:tc>
        <w:tc>
          <w:tcPr>
            <w:tcW w:type="dxa" w:w="5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Функция</w:t>
            </w:r>
          </w:p>
        </w:tc>
        <w:tc>
          <w:tcPr>
            <w:tcW w:type="dxa" w:w="1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Основание</w:t>
            </w:r>
          </w:p>
        </w:tc>
      </w:tr>
      <w:t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Общее собрание</w:t>
            </w:r>
          </w:p>
        </w:tc>
        <w:tc>
          <w:tcPr>
            <w:tcW w:type="dxa" w:w="5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Высший орган. Утверждает положения о фондах по представлению Совета; определяет размеры и порядок взносов; принимает решения об иных фондах.</w:t>
            </w:r>
          </w:p>
        </w:tc>
        <w:tc>
          <w:tcPr>
            <w:tcW w:type="dxa" w:w="1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п. 13.2; пп. 21.1, 25.2-25.3</w:t>
            </w:r>
          </w:p>
        </w:tc>
      </w:tr>
      <w:t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Совет Кооператива</w:t>
            </w:r>
          </w:p>
        </w:tc>
        <w:tc>
          <w:tcPr>
            <w:tcW w:type="dxa" w:w="5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Представляет положения Общему собранию, утверждает бюджет, контролирует Правление; назначает доверительного управляющего системой учета в предусмотренных Уставом случаях.</w:t>
            </w:r>
          </w:p>
        </w:tc>
        <w:tc>
          <w:tcPr>
            <w:tcW w:type="dxa" w:w="1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п. 17.6; пп. 22.4-22.5</w:t>
            </w:r>
          </w:p>
        </w:tc>
      </w:tr>
      <w:t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Правление</w:t>
            </w:r>
          </w:p>
        </w:tc>
        <w:tc>
          <w:tcPr>
            <w:tcW w:type="dxa" w:w="5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Ведет текущую хозяйственную деятельность, готовит предложения и несет ответственность за ее результаты.</w:t>
            </w:r>
          </w:p>
        </w:tc>
        <w:tc>
          <w:tcPr>
            <w:tcW w:type="dxa" w:w="1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пп. 17.15-17.19</w:t>
            </w:r>
          </w:p>
        </w:tc>
      </w:tr>
      <w:t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Ревизионная комиссия</w:t>
            </w:r>
          </w:p>
        </w:tc>
        <w:tc>
          <w:tcPr>
            <w:tcW w:type="dxa" w:w="5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Контролирует финансовую и хозяйственную деятельность; проверяет годовой отчет и бухгалтерский баланс; заключение рассматривает Общее собрание.</w:t>
            </w:r>
          </w:p>
        </w:tc>
        <w:tc>
          <w:tcPr>
            <w:tcW w:type="dxa" w:w="1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п. 13.5; ст. 18; п. 28.2</w:t>
            </w:r>
          </w:p>
        </w:tc>
      </w:tr>
      <w:t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Бухгалтерский учет</w:t>
            </w:r>
          </w:p>
        </w:tc>
        <w:tc>
          <w:tcPr>
            <w:tcW w:type="dxa" w:w="5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Совет и Правление отвечают за достоверность годового отчета и баланса. Документы по фондам, проектам, взносам и операциям должны храниться по статьям 29-30.</w:t>
            </w:r>
          </w:p>
        </w:tc>
        <w:tc>
          <w:tcPr>
            <w:tcW w:type="dxa" w:w="1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п. 28.1; ст. 29-30</w:t>
            </w:r>
          </w:p>
        </w:tc>
      </w:tr>
    </w:tbl>
    <w:p>
      <w:pPr>
        <w:pStyle w:val="Heading1"/>
      </w:pPr>
      <w:r>
        <w:t>6. Минимальный комплект документов по каждому фонду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2600"/>
        <w:gridCol w:w="5924"/>
      </w:tblGrid>
      <w:tr>
        <w:trPr>
          <w:tblHeader w:val="true"/>
        </w:trPr>
        <w:tc>
          <w:tcPr>
            <w:tcW w:type="dxa" w:w="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№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Документ</w:t>
            </w:r>
          </w:p>
        </w:tc>
        <w:tc>
          <w:tcPr>
            <w:tcW w:type="dxa" w:w="59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Что должно быть закреплено</w:t>
            </w:r>
          </w:p>
        </w:tc>
      </w:tr>
      <w:tr>
        <w:tc>
          <w:tcPr>
            <w:tcW w:type="dxa" w:w="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Решение о создании или подтверждении фонда</w:t>
            </w:r>
          </w:p>
        </w:tc>
        <w:tc>
          <w:tcPr>
            <w:tcW w:type="dxa" w:w="59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Протокол Общего собрания; при необходимости - предшествующее решение Совета и представление Совета.</w:t>
            </w:r>
          </w:p>
        </w:tc>
      </w:tr>
      <w:tr>
        <w:tc>
          <w:tcPr>
            <w:tcW w:type="dxa" w:w="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2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Положение о фонде</w:t>
            </w:r>
          </w:p>
        </w:tc>
        <w:tc>
          <w:tcPr>
            <w:tcW w:type="dxa" w:w="59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Назначение, источники, размер, пополнение, допустимые активы, расходы, возвратность, органы, лимиты, отчетность и ликвидация.</w:t>
            </w:r>
          </w:p>
        </w:tc>
      </w:tr>
      <w:tr>
        <w:tc>
          <w:tcPr>
            <w:tcW w:type="dxa" w:w="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3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Бюджет и финансовый план</w:t>
            </w:r>
          </w:p>
        </w:tc>
        <w:tc>
          <w:tcPr>
            <w:tcW w:type="dxa" w:w="59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Целевой и минимальный остаток, поступления, расходы, обязательства, резервирование и сценарий дефицита.</w:t>
            </w:r>
          </w:p>
        </w:tc>
      </w:tr>
      <w:tr>
        <w:tc>
          <w:tcPr>
            <w:tcW w:type="dxa" w:w="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4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Регистры учета</w:t>
            </w:r>
          </w:p>
        </w:tc>
        <w:tc>
          <w:tcPr>
            <w:tcW w:type="dxa" w:w="59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Отдельная аналитика по фонду, взносителю, проекту, возвратности, активу, договору и документу-основанию.</w:t>
            </w:r>
          </w:p>
        </w:tc>
      </w:tr>
      <w:tr>
        <w:tc>
          <w:tcPr>
            <w:tcW w:type="dxa" w:w="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5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Распорядительные документы</w:t>
            </w:r>
          </w:p>
        </w:tc>
        <w:tc>
          <w:tcPr>
            <w:tcW w:type="dxa" w:w="59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Ответственные лица, лимиты подписания, порядок согласования операций, конфликт интересов.</w:t>
            </w:r>
          </w:p>
        </w:tc>
      </w:tr>
      <w:tr>
        <w:tc>
          <w:tcPr>
            <w:tcW w:type="dxa" w:w="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6</w:t>
            </w:r>
          </w:p>
        </w:tc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Отчетность и контроль</w:t>
            </w:r>
          </w:p>
        </w:tc>
        <w:tc>
          <w:tcPr>
            <w:tcW w:type="dxa" w:w="59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Периодический отчет, сверка с бухгалтерским учетом, заключение Ревизионной комиссии, корректирующие мероприятия.</w:t>
            </w:r>
          </w:p>
        </w:tc>
      </w:tr>
    </w:tbl>
    <w:p>
      <w:r>
        <w:br w:type="page"/>
      </w:r>
    </w:p>
    <w:p>
      <w:pPr>
        <w:pStyle w:val="Heading1"/>
      </w:pPr>
      <w:r>
        <w:t>7. Ключевые контрольные вопросы</w:t>
      </w:r>
    </w:p>
    <w:p>
      <w:pPr>
        <w:spacing w:before="0" w:after="14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Разграничение имущества: </w:t>
      </w:r>
      <w:r>
        <w:rPr>
          <w:rFonts w:ascii="Calibri" w:hAnsi="Calibri" w:eastAsia="Calibri"/>
          <w:b w:val="0"/>
          <w:i w:val="0"/>
          <w:color w:val="1F2937"/>
          <w:sz w:val="22"/>
        </w:rPr>
        <w:t>Кому принадлежит актив, на чьем балансе находится, передан ли он в управление и к какому фонду или проекту относится?</w:t>
      </w:r>
    </w:p>
    <w:p>
      <w:pPr>
        <w:spacing w:before="0" w:after="14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Взнос и возвратность: </w:t>
      </w:r>
      <w:r>
        <w:rPr>
          <w:rFonts w:ascii="Calibri" w:hAnsi="Calibri" w:eastAsia="Calibri"/>
          <w:b w:val="0"/>
          <w:i w:val="0"/>
          <w:color w:val="1F2937"/>
          <w:sz w:val="22"/>
        </w:rPr>
        <w:t>Является ли поступление паевым, целевым паевым, ВРК, возвратным или невозвратным целевым взносом; каковы условия возврата?</w:t>
      </w:r>
    </w:p>
    <w:p>
      <w:pPr>
        <w:spacing w:before="0" w:after="14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Компетенция органа: </w:t>
      </w:r>
      <w:r>
        <w:rPr>
          <w:rFonts w:ascii="Calibri" w:hAnsi="Calibri" w:eastAsia="Calibri"/>
          <w:b w:val="0"/>
          <w:i w:val="0"/>
          <w:color w:val="1F2937"/>
          <w:sz w:val="22"/>
        </w:rPr>
        <w:t>Есть ли надлежащее решение Общего собрания и представление Совета; не вышел ли распорядитель за пределы лимита?</w:t>
      </w:r>
    </w:p>
    <w:p>
      <w:pPr>
        <w:spacing w:before="0" w:after="14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Целевое использование: </w:t>
      </w:r>
      <w:r>
        <w:rPr>
          <w:rFonts w:ascii="Calibri" w:hAnsi="Calibri" w:eastAsia="Calibri"/>
          <w:b w:val="0"/>
          <w:i w:val="0"/>
          <w:color w:val="1F2937"/>
          <w:sz w:val="22"/>
        </w:rPr>
        <w:t>Соответствует ли расход назначению фонда, положению, бюджету и документу-основанию?</w:t>
      </w:r>
    </w:p>
    <w:p>
      <w:pPr>
        <w:spacing w:before="0" w:after="14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Неденежные активы: </w:t>
      </w:r>
      <w:r>
        <w:rPr>
          <w:rFonts w:ascii="Calibri" w:hAnsi="Calibri" w:eastAsia="Calibri"/>
          <w:b w:val="0"/>
          <w:i w:val="0"/>
          <w:color w:val="1F2937"/>
          <w:sz w:val="22"/>
        </w:rPr>
        <w:t>Есть ли независимая или утвержденная денежная оценка, акт передачи, право собственности и место хранения?</w:t>
      </w:r>
    </w:p>
    <w:p>
      <w:pPr>
        <w:spacing w:before="0" w:after="14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Риски обязательств: </w:t>
      </w:r>
      <w:r>
        <w:rPr>
          <w:rFonts w:ascii="Calibri" w:hAnsi="Calibri" w:eastAsia="Calibri"/>
          <w:b w:val="0"/>
          <w:i w:val="0"/>
          <w:color w:val="1F2937"/>
          <w:sz w:val="22"/>
        </w:rPr>
        <w:t>Учтены ли выданные гарантии, поручительства, страховые события, резервы и возможные требования кредиторов?</w:t>
      </w:r>
    </w:p>
    <w:p>
      <w:pPr>
        <w:spacing w:before="0" w:after="14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Сверка и отчетность: </w:t>
      </w:r>
      <w:r>
        <w:rPr>
          <w:rFonts w:ascii="Calibri" w:hAnsi="Calibri" w:eastAsia="Calibri"/>
          <w:b w:val="0"/>
          <w:i w:val="0"/>
          <w:color w:val="1F2937"/>
          <w:sz w:val="22"/>
        </w:rPr>
        <w:t>Совпадает ли реестр с бухгалтерской аналитикой, банковскими выписками, проектными счетами и отчетом на контрольную дату?</w:t>
      </w:r>
    </w:p>
    <w:p>
      <w:pPr>
        <w:spacing w:before="0" w:after="140" w:line="276" w:lineRule="auto"/>
      </w:pPr>
      <w:r>
        <w:rPr>
          <w:rFonts w:ascii="Calibri" w:hAnsi="Calibri" w:eastAsia="Calibri"/>
          <w:b/>
          <w:i w:val="0"/>
          <w:color w:val="17365D"/>
          <w:sz w:val="22"/>
        </w:rPr>
        <w:t xml:space="preserve">Ликвидационный режим: </w:t>
      </w:r>
      <w:r>
        <w:rPr>
          <w:rFonts w:ascii="Calibri" w:hAnsi="Calibri" w:eastAsia="Calibri"/>
          <w:b w:val="0"/>
          <w:i w:val="0"/>
          <w:color w:val="1F2937"/>
          <w:sz w:val="22"/>
        </w:rPr>
        <w:t>Отделены ли неделимый фонд, имущество фонда развития, требования кредиторов и остаточное имущество?</w:t>
      </w:r>
    </w:p>
    <w:p>
      <w:r>
        <w:br w:type="page"/>
      </w:r>
    </w:p>
    <w:p>
      <w:pPr>
        <w:pStyle w:val="Heading1"/>
      </w:pPr>
      <w:r>
        <w:t>8. Карта основных уставных оснований</w:t>
      </w:r>
    </w:p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6724"/>
      </w:tblGrid>
      <w:tr>
        <w:trPr>
          <w:tblHeader w:val="true"/>
        </w:trP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Основание</w:t>
            </w:r>
          </w:p>
        </w:tc>
        <w:tc>
          <w:tcPr>
            <w:tcW w:type="dxa" w:w="67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7365D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Содержание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Статья 1, стр. 3-4</w:t>
            </w:r>
          </w:p>
        </w:tc>
        <w:tc>
          <w:tcPr>
            <w:tcW w:type="dxa" w:w="67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Определения паевого, резервного, страхового, неделимого, фонда развития, инвестиционного фонда, фонда материальной поддержки и пай-фонда.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Пункт 3.2, стр. 6-7</w:t>
            </w:r>
          </w:p>
        </w:tc>
        <w:tc>
          <w:tcPr>
            <w:tcW w:type="dxa" w:w="67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Цели создания фонда материальной поддержки и проекта НПФ.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Пункт 3.3, стр. 8-9</w:t>
            </w:r>
          </w:p>
        </w:tc>
        <w:tc>
          <w:tcPr>
            <w:tcW w:type="dxa" w:w="67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Допустимые типы собственных фондов развития; промышленный фонд как производственный имущественный контекст.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Статья 20, стр. 22</w:t>
            </w:r>
          </w:p>
        </w:tc>
        <w:tc>
          <w:tcPr>
            <w:tcW w:type="dxa" w:w="67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Имущество Кооператива и источники его формирования; особый статус имущества фонда развития.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Статьи 21-24, стр. 22-24</w:t>
            </w:r>
          </w:p>
        </w:tc>
        <w:tc>
          <w:tcPr>
            <w:tcW w:type="dxa" w:w="67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Взносы, внутренние счета, фонд развития, целевые паи, пай-фонды и возвратность.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Статья 25, стр. 24</w:t>
            </w:r>
          </w:p>
        </w:tc>
        <w:tc>
          <w:tcPr>
            <w:tcW w:type="dxa" w:w="67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Паевой фонд и прямой перечень иных фондов; единое правило утверждения положений.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Статьи 26-30, стр. 24-25</w:t>
            </w:r>
          </w:p>
        </w:tc>
        <w:tc>
          <w:tcPr>
            <w:tcW w:type="dxa" w:w="67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Распределение доходов, покрытие убытков, бухгалтерская отчетность, контроль и хранение документов.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Статья 32, стр. 26</w:t>
            </w:r>
          </w:p>
        </w:tc>
        <w:tc>
          <w:tcPr>
            <w:tcW w:type="dxa" w:w="67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Режим неделимого фонда, фонда развития и остаточного имущества при ликвидации.</w:t>
            </w:r>
          </w:p>
        </w:tc>
      </w:tr>
    </w:tbl>
    <w:p/>
    <w:tbl>
      <w:tblPr>
        <w:tblW w:type="dxa" w:w="902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024"/>
      </w:tblGrid>
      <w:tr>
        <w:tc>
          <w:tcPr>
            <w:tcW w:type="dxa" w:w="9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4D6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i w:val="0"/>
                <w:color w:val="17365D"/>
                <w:sz w:val="22"/>
              </w:rPr>
              <w:t xml:space="preserve">Следующий шаг проверки. </w:t>
            </w:r>
            <w:r>
              <w:rPr>
                <w:rFonts w:ascii="Calibri" w:hAnsi="Calibri" w:eastAsia="Calibri"/>
                <w:b w:val="0"/>
                <w:i w:val="0"/>
                <w:color w:val="1F2937"/>
                <w:sz w:val="22"/>
              </w:rPr>
              <w:t>для подтверждения фактического состояния фондов необходимо сопоставить этот реестр с протоколами Общего собрания и Совета, положениями о фондах, учетной политикой, бухгалтерскими счетами, реестрами взносов, договорами, банковскими выписками, ведомостями активов и последним заключением Ревизионной комиссии.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 w:val="0"/>
        <w:i w:val="0"/>
        <w:color w:val="5B6573"/>
        <w:sz w:val="17"/>
      </w:rPr>
      <w:t xml:space="preserve">Стр.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i w:val="0"/>
        <w:color w:val="5B6573"/>
        <w:sz w:val="17"/>
      </w:rPr>
      <w:t>НПК НПО «СПЕЦЗАЩИТА»  |  Реестр фондов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 w:eastAsia="Calibri"/>
      <w:b w:val="0"/>
      <w:i/>
      <w:iCs/>
      <w:color w:val="5B6573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фондов НПК НПО СПЕЦЗАЩИТА</dc:title>
  <dc:subject>Фонды, предусмотренные Уставом, их статус, назначение, источники, управление и контроль</dc:subject>
  <dc:creator>Соколов Сергей Леонидович</dc:creator>
  <cp:keywords>СПЕЦЗАЩИТА, фонды, реестр, устав, кооператив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