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800"/>
        <w:jc w:val="center"/>
      </w:pPr>
      <w:r>
        <w:rPr>
          <w:rFonts w:ascii="Aptos Display" w:hAnsi="Aptos Display" w:eastAsia="Aptos Display"/>
          <w:b/>
          <w:color w:val="142B46"/>
          <w:sz w:val="68"/>
        </w:rPr>
        <w:t>ЭФС</w:t>
      </w:r>
    </w:p>
    <w:p>
      <w:pPr>
        <w:widowControl/>
        <w:jc w:val="center"/>
      </w:pPr>
      <w:r>
        <w:rPr>
          <w:rFonts w:ascii="Aptos Display" w:hAnsi="Aptos Display" w:eastAsia="Aptos Display"/>
          <w:b/>
          <w:color w:val="1F4E79"/>
          <w:sz w:val="36"/>
        </w:rPr>
        <w:t>ЭВОЛЮЦИОННАЯ ФИНАНСОВАЯ СИСТЕМА</w:t>
      </w:r>
    </w:p>
    <w:p>
      <w:pPr>
        <w:pStyle w:val="EFSSubtitle"/>
        <w:widowControl/>
        <w:jc w:val="center"/>
      </w:pPr>
      <w:r>
        <w:t>Финансовый контур ЭКВИЛИБРИУМ</w:t>
        <w:br/>
        <w:t>ТЕТТА + матрица 13×20 + умные деньги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rPr>
          <w:trHeight w:hRule="atLeast"/>
        </w:trPr>
        <w:tc>
          <w:tcPr>
            <w:tcW w:type="dxa" w:w="10086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color w:val="1F4E79"/>
                <w:sz w:val="21"/>
              </w:rPr>
              <w:t xml:space="preserve">Ключевая идея: </w:t>
            </w:r>
            <w:r>
              <w:rPr>
                <w:rFonts w:ascii="Aptos" w:hAnsi="Aptos" w:eastAsia="Aptos"/>
                <w:sz w:val="21"/>
              </w:rPr>
              <w:t>финансовые ресурсы рассматриваются не как изолированная масса денег, а как управляемые потоки, связанные с целью, маршрутом, результатом и обратной связью.</w:t>
            </w:r>
          </w:p>
        </w:tc>
      </w:tr>
    </w:tbl>
    <w:p>
      <w:pPr>
        <w:widowControl/>
        <w:spacing w:after="20"/>
      </w:pPr>
    </w:p>
    <w:p>
      <w:pPr>
        <w:widowControl/>
        <w:spacing w:before="1400"/>
        <w:jc w:val="center"/>
      </w:pPr>
      <w:r>
        <w:rPr>
          <w:rFonts w:ascii="Aptos" w:hAnsi="Aptos" w:eastAsia="Aptos"/>
          <w:b/>
          <w:color w:val="646464"/>
          <w:sz w:val="22"/>
        </w:rPr>
        <w:t>2026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1. Назначение ЭФС</w:t>
      </w:r>
    </w:p>
    <w:p>
      <w:pPr>
        <w:widowControl/>
      </w:pPr>
      <w:r>
        <w:t>ЭФС — проектная финансовая архитектура внутри ЭКВИЛИБРИУМ. Её задача — связать государственные и частные ресурсы с целями развития, конкретными проектами, измеримыми результатами и непрерывной обратной связью. В модели ТЕТТА выступает аналитическим и сценарным ядром, а ЭФС — контуром движения и контроля финансовых потоков.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rPr>
          <w:trHeight w:hRule="atLeast"/>
        </w:trPr>
        <w:tc>
          <w:tcPr>
            <w:tcW w:type="dxa" w:w="10086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color w:val="1F4E79"/>
                <w:sz w:val="21"/>
              </w:rPr>
              <w:t xml:space="preserve">Рабочая формула: </w:t>
            </w:r>
            <w:r>
              <w:rPr>
                <w:rFonts w:ascii="Aptos" w:hAnsi="Aptos" w:eastAsia="Aptos"/>
                <w:sz w:val="21"/>
              </w:rPr>
              <w:t>ТЕТТА определяет состояние и приоритет → ЭФС формирует допустимый финансовый маршрут → исполнители создают результат → данные результата возвращаются в ТЕТТА → правила и потоки корректируются.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widowControl/>
      </w:pPr>
      <w:r>
        <w:t>2. Концептуальное основание</w:t>
      </w:r>
    </w:p>
    <w:p>
      <w:pPr>
        <w:widowControl/>
      </w:pPr>
      <w:r>
        <w:t>Загруженный материал формулирует три базовых закона — Экономии, Притяжения и Синтеза — и рассматривает развитие систем как циклический процесс, где элементы связаны отношениями, потоками и обратной реакцией. Для ЭФС это используется как концептуальная рамка, а не как утверждение о современной экономической науке.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Закон Экономии → эффективность использования ресурсов и минимизация потерь.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Закон Притяжения → кооперация, договорные связи, спрос, капитал и устойчивые отношения между участниками.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Закон Синтеза → согласование отдельных финансовых решений с целями системы в целом.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Закон Периодичности → циклы планирования, исполнения, контроля, переоценки и нового запуска.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Закон Соответствий → единая логика анализа на разных масштабах: проект, муниципалитет, регион, отрасль, страна.</w:t>
      </w:r>
    </w:p>
    <w:p>
      <w:pPr>
        <w:widowControl/>
      </w:pPr>
      <w:r>
        <w:t>Источник-основание: пользовательский PDF «Есть ли аналогия», разделы о базовых постулатах, Законе Периодичности, Законах Мысли и развитии сознания. Остальная архитектура ЭФС ниже является проектной разработкой и системной интерпретацией.</w:t>
      </w:r>
    </w:p>
    <w:p>
      <w:pPr>
        <w:pStyle w:val="Heading1"/>
        <w:keepNext/>
        <w:widowControl/>
      </w:pPr>
      <w:r>
        <w:t>3. Что ЭФС меняет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Цель: </w:t>
      </w:r>
      <w:r>
        <w:rPr>
          <w:rFonts w:ascii="Aptos" w:hAnsi="Aptos" w:eastAsia="Aptos"/>
          <w:sz w:val="21"/>
        </w:rPr>
        <w:t>от финансирования статьи/мероприятия — к финансированию измеримого результата.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Маршрут: </w:t>
      </w:r>
      <w:r>
        <w:rPr>
          <w:rFonts w:ascii="Aptos" w:hAnsi="Aptos" w:eastAsia="Aptos"/>
          <w:sz w:val="21"/>
        </w:rPr>
        <w:t>от ослабления контроля после перечисления — к заранее известным правилам программы и допустимым операциям.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Данные: </w:t>
      </w:r>
      <w:r>
        <w:rPr>
          <w:rFonts w:ascii="Aptos" w:hAnsi="Aptos" w:eastAsia="Aptos"/>
          <w:sz w:val="21"/>
        </w:rPr>
        <w:t>от периодической отчётности — к событийной и агрегированной телеметрии исполнения.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Контроль: </w:t>
      </w:r>
      <w:r>
        <w:rPr>
          <w:rFonts w:ascii="Aptos" w:hAnsi="Aptos" w:eastAsia="Aptos"/>
          <w:sz w:val="21"/>
        </w:rPr>
        <w:t>от проверки факта расходования — к проверке расхода, результата и эффекта.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Решение: </w:t>
      </w:r>
      <w:r>
        <w:rPr>
          <w:rFonts w:ascii="Aptos" w:hAnsi="Aptos" w:eastAsia="Aptos"/>
          <w:sz w:val="21"/>
        </w:rPr>
        <w:t>от преимущественно ручной корректировки — к сценарным рекомендациям ТЕТТА при сохранении ответственности уполномоченного человека.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Масштаб: </w:t>
      </w:r>
      <w:r>
        <w:rPr>
          <w:rFonts w:ascii="Aptos" w:hAnsi="Aptos" w:eastAsia="Aptos"/>
          <w:sz w:val="21"/>
        </w:rPr>
        <w:t>от разрозненных программ — к единой матрице 13×20.</w:t>
      </w:r>
    </w:p>
    <w:p>
      <w:pPr>
        <w:pStyle w:val="Heading1"/>
        <w:keepNext/>
        <w:widowControl/>
      </w:pPr>
      <w:r>
        <w:t>4. Архитектура ЭФС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1"/>
        <w:gridCol w:w="1441"/>
        <w:gridCol w:w="1441"/>
        <w:gridCol w:w="1441"/>
        <w:gridCol w:w="1441"/>
        <w:gridCol w:w="1441"/>
        <w:gridCol w:w="1441"/>
      </w:tblGrid>
      <w:tr>
        <w:trPr>
          <w:trHeight w:hRule="atLeast"/>
        </w:trPr>
        <w:tc>
          <w:tcPr>
            <w:tcW w:type="dxa" w:w="1441"/>
            <w:shd w:fill="D9EAF7"/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42B46"/>
                <w:sz w:val="16"/>
              </w:rPr>
              <w:t>Источники</w:t>
            </w:r>
          </w:p>
        </w:tc>
        <w:tc>
          <w:tcPr>
            <w:tcW w:type="dxa" w:w="1441"/>
            <w:shd w:fill="1F4E79"/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ТЕТТА</w:t>
            </w:r>
          </w:p>
        </w:tc>
        <w:tc>
          <w:tcPr>
            <w:tcW w:type="dxa" w:w="1441"/>
            <w:shd w:fill="D9EAF7"/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42B46"/>
                <w:sz w:val="16"/>
              </w:rPr>
              <w:t>Правила</w:t>
            </w:r>
          </w:p>
        </w:tc>
        <w:tc>
          <w:tcPr>
            <w:tcW w:type="dxa" w:w="1441"/>
            <w:shd w:fill="1F4E79"/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ЭФС</w:t>
            </w:r>
          </w:p>
        </w:tc>
        <w:tc>
          <w:tcPr>
            <w:tcW w:type="dxa" w:w="1441"/>
            <w:shd w:fill="D9EAF7"/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42B46"/>
                <w:sz w:val="16"/>
              </w:rPr>
              <w:t>Исполнение</w:t>
            </w:r>
          </w:p>
        </w:tc>
        <w:tc>
          <w:tcPr>
            <w:tcW w:type="dxa" w:w="1441"/>
            <w:shd w:fill="D9EAF7"/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42B46"/>
                <w:sz w:val="16"/>
              </w:rPr>
              <w:t>Результат</w:t>
            </w:r>
          </w:p>
        </w:tc>
        <w:tc>
          <w:tcPr>
            <w:tcW w:type="dxa" w:w="1441"/>
            <w:shd w:fill="D9EAF7"/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42B46"/>
                <w:sz w:val="16"/>
              </w:rPr>
              <w:t>Обратная связь</w:t>
            </w:r>
          </w:p>
        </w:tc>
      </w:tr>
    </w:tbl>
    <w:p>
      <w:pPr>
        <w:widowControl/>
      </w:pPr>
      <w:r>
        <w:t>Поток: данные о состоянии → диагностика → приоритет → паспорт финансового потока → операции → измеримый результат → сравнение «план/факт/эффект» → корректировка.</w:t>
      </w:r>
    </w:p>
    <w:p>
      <w:pPr>
        <w:pStyle w:val="Heading2"/>
        <w:keepNext/>
        <w:widowControl/>
      </w:pPr>
      <w:r>
        <w:t>4.1. Пять ядер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1. Data Core — </w:t>
      </w:r>
      <w:r>
        <w:rPr>
          <w:rFonts w:ascii="Aptos" w:hAnsi="Aptos" w:eastAsia="Aptos"/>
          <w:sz w:val="21"/>
        </w:rPr>
        <w:t>получение, очистка, каталогизация и версионирование данных; единая модель идентификаторов объектов, программ и результатов.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2. 13×20 Engine — </w:t>
      </w:r>
      <w:r>
        <w:rPr>
          <w:rFonts w:ascii="Aptos" w:hAnsi="Aptos" w:eastAsia="Aptos"/>
          <w:sz w:val="21"/>
        </w:rPr>
        <w:t>диагностика состояния по 13 стадиям и 20 сферам; поиск разрывов между целями, ресурсами, потоками, исполнением и результатом.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3. Meaning &amp; Policy Core — </w:t>
      </w:r>
      <w:r>
        <w:rPr>
          <w:rFonts w:ascii="Aptos" w:hAnsi="Aptos" w:eastAsia="Aptos"/>
          <w:sz w:val="21"/>
        </w:rPr>
        <w:t>проверка соответствия стратегии, бюджетным ограничениям, правилам программы, правам участников и общественно значимым целям.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4. Decision Core — </w:t>
      </w:r>
      <w:r>
        <w:rPr>
          <w:rFonts w:ascii="Aptos" w:hAnsi="Aptos" w:eastAsia="Aptos"/>
          <w:sz w:val="21"/>
        </w:rPr>
        <w:t>сценарии распределения, прогноз последствий, стресс-тесты и ранжирование вариантов. Решение не делегируется модели автоматически.</w:t>
      </w:r>
    </w:p>
    <w:p>
      <w:pPr>
        <w:widowControl/>
      </w:pPr>
      <w:r>
        <w:rPr>
          <w:rFonts w:ascii="Aptos" w:hAnsi="Aptos" w:eastAsia="Aptos"/>
          <w:b/>
          <w:color w:val="1F4E79"/>
          <w:sz w:val="21"/>
        </w:rPr>
        <w:t xml:space="preserve">5. Feedback Core — </w:t>
      </w:r>
      <w:r>
        <w:rPr>
          <w:rFonts w:ascii="Aptos" w:hAnsi="Aptos" w:eastAsia="Aptos"/>
          <w:sz w:val="21"/>
        </w:rPr>
        <w:t>контроль результатов, эффектов и побочных последствий; обновление рейтингов риска и рекомендаций.</w:t>
      </w:r>
    </w:p>
    <w:p>
      <w:pPr>
        <w:pStyle w:val="Heading1"/>
        <w:keepNext/>
        <w:widowControl/>
      </w:pPr>
      <w:r>
        <w:t>5. Паспорт «умных денег»</w:t>
      </w:r>
    </w:p>
    <w:p>
      <w:pPr>
        <w:widowControl/>
      </w:pPr>
      <w:r>
        <w:t>В ЭФС «умность» относится не к самой денежной единице, а к цифровому правилу программы, которое сопровождает выделенный ресурс. Для пилота это предпочтительнее создания новой валюты или публичного токена.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Идентификатор потока: </w:t>
      </w:r>
      <w:r>
        <w:rPr>
          <w:rFonts w:ascii="Aptos" w:hAnsi="Aptos" w:eastAsia="Aptos"/>
          <w:sz w:val="19"/>
        </w:rPr>
        <w:t>уникальный ID программы/транша/обязательства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Источник: </w:t>
      </w:r>
      <w:r>
        <w:rPr>
          <w:rFonts w:ascii="Aptos" w:hAnsi="Aptos" w:eastAsia="Aptos"/>
          <w:sz w:val="19"/>
        </w:rPr>
        <w:t>бюджет, фонд, банк, инвестор, кооператив, предприятие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Цель: </w:t>
      </w:r>
      <w:r>
        <w:rPr>
          <w:rFonts w:ascii="Aptos" w:hAnsi="Aptos" w:eastAsia="Aptos"/>
          <w:sz w:val="19"/>
        </w:rPr>
        <w:t>какой результат должен быть достигнут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Матрица 13×20: </w:t>
      </w:r>
      <w:r>
        <w:rPr>
          <w:rFonts w:ascii="Aptos" w:hAnsi="Aptos" w:eastAsia="Aptos"/>
          <w:sz w:val="19"/>
        </w:rPr>
        <w:t>ячейка или набор ячеек, к которым относится поток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Получатели: </w:t>
      </w:r>
      <w:r>
        <w:rPr>
          <w:rFonts w:ascii="Aptos" w:hAnsi="Aptos" w:eastAsia="Aptos"/>
          <w:sz w:val="19"/>
        </w:rPr>
        <w:t>допустимые категории субъектов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Операции: </w:t>
      </w:r>
      <w:r>
        <w:rPr>
          <w:rFonts w:ascii="Aptos" w:hAnsi="Aptos" w:eastAsia="Aptos"/>
          <w:sz w:val="19"/>
        </w:rPr>
        <w:t>разрешённые и запрещённые типы использования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Срок: </w:t>
      </w:r>
      <w:r>
        <w:rPr>
          <w:rFonts w:ascii="Aptos" w:hAnsi="Aptos" w:eastAsia="Aptos"/>
          <w:sz w:val="19"/>
        </w:rPr>
        <w:t>период действия и контрольные точки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KPI/Outcome: </w:t>
      </w:r>
      <w:r>
        <w:rPr>
          <w:rFonts w:ascii="Aptos" w:hAnsi="Aptos" w:eastAsia="Aptos"/>
          <w:sz w:val="19"/>
        </w:rPr>
        <w:t>измеримые результаты и эффект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Доказательства: </w:t>
      </w:r>
      <w:r>
        <w:rPr>
          <w:rFonts w:ascii="Aptos" w:hAnsi="Aptos" w:eastAsia="Aptos"/>
          <w:sz w:val="19"/>
        </w:rPr>
        <w:t>договор, акт, реестр, датчик, платёжный факт, внешняя валидация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Риск-профиль: </w:t>
      </w:r>
      <w:r>
        <w:rPr>
          <w:rFonts w:ascii="Aptos" w:hAnsi="Aptos" w:eastAsia="Aptos"/>
          <w:sz w:val="19"/>
        </w:rPr>
        <w:t>лимиты, флаги, аномалии, конфликт интересов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Правила возврата/переноса: </w:t>
      </w:r>
      <w:r>
        <w:rPr>
          <w:rFonts w:ascii="Aptos" w:hAnsi="Aptos" w:eastAsia="Aptos"/>
          <w:sz w:val="19"/>
        </w:rPr>
        <w:t>что происходит при недостижении условий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19"/>
        </w:rPr>
        <w:t xml:space="preserve">Аудит: </w:t>
      </w:r>
      <w:r>
        <w:rPr>
          <w:rFonts w:ascii="Aptos" w:hAnsi="Aptos" w:eastAsia="Aptos"/>
          <w:sz w:val="19"/>
        </w:rPr>
        <w:t>неизменяемый журнал решений и действий</w:t>
      </w:r>
    </w:p>
    <w:p>
      <w:pPr>
        <w:pStyle w:val="Heading1"/>
        <w:keepNext/>
        <w:widowControl/>
      </w:pPr>
      <w:r>
        <w:t>6. Матрица ЭФС 13×20</w:t>
      </w:r>
    </w:p>
    <w:p>
      <w:pPr>
        <w:widowControl/>
      </w:pPr>
      <w:r>
        <w:t>Матрица 13×20 содержит 260 управленческих ячеек. Вертикаль описывает жизненный цикл решения, горизонталь — сферы проявления. Финансовый поток может быть привязан к одной или нескольким ячейкам и не должен рассматриваться отдельно от результата.</w:t>
      </w:r>
    </w:p>
    <w:p>
      <w:pPr>
        <w:pStyle w:val="Heading2"/>
        <w:keepNext/>
        <w:widowControl/>
      </w:pPr>
      <w:r>
        <w:t>6.1. 13 стадий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Источник/основание: финансовый вопрос стадии 1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Идея: финансовый вопрос стадии 2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Смысл: финансовый вопрос стадии 3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Цель: финансовый вопрос стадии 4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Намерение: финансовый вопрос стадии 5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Диагностика: финансовый вопрос стадии 6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План: финансовый вопрос стадии 7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Ресурс: финансовый вопрос стадии 8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Поток: финансовый вопрос стадии 9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Структура: финансовый вопрос стадии 10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Действие: финансовый вопрос стадии 11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Результат: финансовый вопрос стадии 12 — что должно быть определено, измерено или проверено до перехода дальше.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Обратная связь: финансовый вопрос стадии 13 — что должно быть определено, измерено или проверено до перехода дальше.</w:t>
      </w:r>
    </w:p>
    <w:p>
      <w:pPr>
        <w:pStyle w:val="Heading2"/>
        <w:keepNext/>
        <w:widowControl/>
      </w:pPr>
      <w:r>
        <w:t>6.2. 20 сфер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rPr>
          <w:trHeight w:hRule="atLeast"/>
        </w:trPr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1. Человек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2. Здоровье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3. Семья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4. Сообщество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5. Образование</w:t>
            </w:r>
          </w:p>
        </w:tc>
      </w:tr>
    </w:tbl>
    <w:p>
      <w:pPr>
        <w:widowControl/>
        <w:spacing w:after="2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rPr>
          <w:trHeight w:hRule="atLeast"/>
        </w:trPr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6. Наука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7. Технологии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7"/>
              </w:rPr>
              <w:t>8. Экономика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7"/>
              </w:rPr>
              <w:t>9. Финансы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10. Труд</w:t>
            </w:r>
          </w:p>
        </w:tc>
      </w:tr>
    </w:tbl>
    <w:p>
      <w:pPr>
        <w:widowControl/>
        <w:spacing w:after="2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rPr>
          <w:trHeight w:hRule="atLeast"/>
        </w:trPr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7"/>
              </w:rPr>
              <w:t>11. Управление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12. Территории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7"/>
              </w:rPr>
              <w:t>13. Инфраструктура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14. Экология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15. Природа</w:t>
            </w:r>
          </w:p>
        </w:tc>
      </w:tr>
    </w:tbl>
    <w:p>
      <w:pPr>
        <w:widowControl/>
        <w:spacing w:after="2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rPr>
          <w:trHeight w:hRule="atLeast"/>
        </w:trPr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16. Энергетика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17. Культура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18. Информация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7"/>
              </w:rPr>
              <w:t>19. Безопасность</w:t>
            </w:r>
          </w:p>
        </w:tc>
        <w:tc>
          <w:tcPr>
            <w:tcW w:type="dxa" w:w="2017"/>
            <w:tcMar>
              <w:top w:w="100" w:type="dxa"/>
              <w:start w:w="80" w:type="dxa"/>
              <w:bottom w:w="100" w:type="dxa"/>
              <w:end w:w="80" w:type="dxa"/>
            </w:tcMar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 w:val="0"/>
                <w:sz w:val="17"/>
              </w:rPr>
              <w:t>20. Будущее/космос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widowControl/>
      </w:pPr>
      <w:r>
        <w:t>6.3. Пример чтения ячейки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rPr>
          <w:trHeight w:hRule="atLeast"/>
        </w:trPr>
        <w:tc>
          <w:tcPr>
            <w:tcW w:type="dxa" w:w="10086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color w:val="1F4E79"/>
                <w:sz w:val="21"/>
              </w:rPr>
              <w:t xml:space="preserve">Ячейка «Поток × Экономика»: </w:t>
            </w:r>
            <w:r>
              <w:rPr>
                <w:rFonts w:ascii="Aptos" w:hAnsi="Aptos" w:eastAsia="Aptos"/>
                <w:sz w:val="21"/>
              </w:rPr>
              <w:t>показывает, насколько быстро и без потерь капитал проходит от источника к производителю, подрядчику, работнику и конечному результату. Если ресурсы имеются, но результат отсутствует, ТЕТТА ищет разрыв не только в объёме финансирования, но и в маршруте, структуре, правилах и сроках.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widowControl/>
      </w:pPr>
      <w:r>
        <w:t>7. Логика принятия решения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Сигнал: поступает факт, отклонение, запрос или прогноз риска.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Контекст: объект связывается с программой, территорией, отраслью и ячейками 13×20.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Диагностика: система ищет причину и связанные зависимости.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Сценарии: рассчитываются минимум три варианта — базовый, ускоренный и защитный.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Оценка ограничений: право, бюджет, ликвидность, безопасность, данные, права граждан и организаций.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Решение: уполномоченный орган или человек выбирает вариант; ИИ не получает безусловного права распоряжения публичными средствами.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Исполнение: формируется паспорт потока и события контроля.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Обратная связь: сравниваются затраты, результат, эффект и побочные последствия.</w:t>
      </w:r>
    </w:p>
    <w:p>
      <w:pPr>
        <w:pStyle w:val="ListNumber"/>
        <w:widowControl/>
        <w:spacing w:after="80"/>
      </w:pPr>
      <w:r>
        <w:rPr>
          <w:rFonts w:ascii="Aptos" w:hAnsi="Aptos" w:eastAsia="Aptos"/>
          <w:sz w:val="21"/>
        </w:rPr>
        <w:t>Обновление: корректируются правила, прогнозы и последующие транши.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8. Пример применения: поддержка производственного МСП</w:t>
      </w:r>
    </w:p>
    <w:p>
      <w:pPr>
        <w:widowControl/>
      </w:pPr>
      <w:r>
        <w:t>Пилотный сценарий не требует собственной валюты. Он может быть реализован как целевая программа с цифровым паспортом финансирования, контролем допустимых операций и аналитикой результата.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rPr>
          <w:trHeight w:hRule="atLeast"/>
        </w:trPr>
        <w:tc>
          <w:tcPr>
            <w:tcW w:type="dxa" w:w="5043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Элемент</w:t>
            </w:r>
          </w:p>
        </w:tc>
        <w:tc>
          <w:tcPr>
            <w:tcW w:type="dxa" w:w="5043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Пилот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Проблема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предприятия имеют заказы, но испытывают дефицит оборотного капитала и длительное согласование финансирования.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Цель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ускорить оборот капитала без ослабления контроля.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Ресурс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кредитная линия/гарантийный фонд/субсидия процентной ставки.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Правила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разрешённые категории платежей: сырьё, оборудование, логистика, фонд оплаты труда, обязательные платежи.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Контроль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не содержание каждой частной покупки государством, а автоматические проверки условий программы, лимитов и аномалий.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Результат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рост выпуска, выполнение контрактов, занятость, налоговая база, отсутствие просрочки.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Обратная связь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изменение лимитов, сроков и условий следующего транша на основании фактического результата.</w:t>
            </w:r>
          </w:p>
        </w:tc>
      </w:tr>
    </w:tbl>
    <w:p>
      <w:pPr>
        <w:pStyle w:val="Heading1"/>
        <w:keepNext/>
        <w:widowControl/>
      </w:pPr>
      <w:r>
        <w:t>9. Governance: кто чем управляет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rPr>
          <w:trHeight w:hRule="atLeast"/>
        </w:trPr>
        <w:tc>
          <w:tcPr>
            <w:tcW w:type="dxa" w:w="5043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Роль</w:t>
            </w:r>
          </w:p>
        </w:tc>
        <w:tc>
          <w:tcPr>
            <w:tcW w:type="dxa" w:w="5043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Ответственность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Стратегический заказчик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утверждает цели, ограничения и показатели результата.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Владелец программы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несёт ответственность за бюджет, правила и достижение результата.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ТЕТТА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анализирует данные, строит сценарии, выявляет отклонения и формирует рекомендации.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ЭФС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исполняет цифровые правила финансового маршрута и ведёт журнал событий.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Казначейство/банк/платёжный оператор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проводит юридически значимые расчёты в рамках действующего регулирования.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Исполнитель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получает ресурс и создаёт результат.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Валидатор/аудитор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подтверждает доказательства и независимую оценку результата.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Гражданин/бизнес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получает понятные права, основания решений и каналы обжалования.</w:t>
            </w:r>
          </w:p>
        </w:tc>
      </w:tr>
    </w:tbl>
    <w:p>
      <w:pPr>
        <w:pStyle w:val="Heading1"/>
        <w:keepNext/>
        <w:widowControl/>
      </w:pPr>
      <w:r>
        <w:t>10. Правовые и этические ограничения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ЭФС не должна превращать обычные деньги граждан в программируемое средство тотального контроля.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Целевые ограничения применяются только к добровольно или нормативно определённым программным средствам, где правила известны заранее.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Персональные данные минимизируются; для аналитики предпочтительны агрегированные и псевдонимизированные наборы.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Любое значимое автоматизированное ограничение должно иметь юридическое основание, объяснение и процедуру обжалования.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Модели ИИ дают рекомендации и сигналы риска, но не должны единолично принимать необратимые решения о правах, доступе к средствам или санкциях.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Публичные алгоритмы программы подлежат аудиту, журналированию версий и контролю конфликтов интересов.</w:t>
      </w:r>
    </w:p>
    <w:p>
      <w:pPr>
        <w:pStyle w:val="Heading1"/>
        <w:keepNext/>
        <w:widowControl/>
      </w:pPr>
      <w:r>
        <w:t>11. Технологическая архитектура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Интеграционный слой: </w:t>
      </w:r>
      <w:r>
        <w:rPr>
          <w:rFonts w:ascii="Aptos" w:hAnsi="Aptos" w:eastAsia="Aptos"/>
          <w:sz w:val="20"/>
        </w:rPr>
        <w:t>API Gateway, шина событий, коннекторы к реестрам, банкам, ERP и казначейским системам.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Данные: </w:t>
      </w:r>
      <w:r>
        <w:rPr>
          <w:rFonts w:ascii="Aptos" w:hAnsi="Aptos" w:eastAsia="Aptos"/>
          <w:sz w:val="20"/>
        </w:rPr>
        <w:t>lakehouse/warehouse, мастер-данные, каталог данных, lineage, контроль качества.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Граф связей: </w:t>
      </w:r>
      <w:r>
        <w:rPr>
          <w:rFonts w:ascii="Aptos" w:hAnsi="Aptos" w:eastAsia="Aptos"/>
          <w:sz w:val="20"/>
        </w:rPr>
        <w:t>графовая БД для участников, контрактов, объектов, проектов, обязательств и зависимостей.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Правила: </w:t>
      </w:r>
      <w:r>
        <w:rPr>
          <w:rFonts w:ascii="Aptos" w:hAnsi="Aptos" w:eastAsia="Aptos"/>
          <w:sz w:val="20"/>
        </w:rPr>
        <w:t>policy/rules engine для разрешённых операций, лимитов, ролей и контрольных точек.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Аналитика: </w:t>
      </w:r>
      <w:r>
        <w:rPr>
          <w:rFonts w:ascii="Aptos" w:hAnsi="Aptos" w:eastAsia="Aptos"/>
          <w:sz w:val="20"/>
        </w:rPr>
        <w:t>потоковая аналитика, сценарное моделирование, ML для аномалий и прогнозов.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Реестр событий: </w:t>
      </w:r>
      <w:r>
        <w:rPr>
          <w:rFonts w:ascii="Aptos" w:hAnsi="Aptos" w:eastAsia="Aptos"/>
          <w:sz w:val="20"/>
        </w:rPr>
        <w:t>неизменяемый audit log; блокчейн возможен только там, где реально нужен межорганизационный консенсус.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Интерфейс: </w:t>
      </w:r>
      <w:r>
        <w:rPr>
          <w:rFonts w:ascii="Aptos" w:hAnsi="Aptos" w:eastAsia="Aptos"/>
          <w:sz w:val="20"/>
        </w:rPr>
        <w:t>WIST: карта потоков, матрица 13×20, карточка программы, сценарии, риски, доказательства.</w:t>
      </w:r>
    </w:p>
    <w:p>
      <w:pPr>
        <w:widowControl/>
        <w:spacing w:after="60"/>
      </w:pPr>
      <w:r>
        <w:rPr>
          <w:rFonts w:ascii="Aptos" w:hAnsi="Aptos" w:eastAsia="Aptos"/>
          <w:b/>
          <w:color w:val="1F4E79"/>
          <w:sz w:val="20"/>
        </w:rPr>
        <w:t xml:space="preserve">Безопасность: </w:t>
      </w:r>
      <w:r>
        <w:rPr>
          <w:rFonts w:ascii="Aptos" w:hAnsi="Aptos" w:eastAsia="Aptos"/>
          <w:sz w:val="20"/>
        </w:rPr>
        <w:t>Zero Trust, RBAC/ABAC, аппаратные ключи, журнал доступа, сегментация и резервирование.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12. Индекс Эквилибриума финансового потока</w:t>
      </w:r>
    </w:p>
    <w:p>
      <w:pPr>
        <w:widowControl/>
      </w:pPr>
      <w:r>
        <w:t>Для MVP можно использовать индекс 0–100, который не претендует на макроэкономическую истину, а служит управленческим сигналом. Он рассчитывается из нормированных показателей и обязательно раскрывает структуру оценки.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rHeight w:hRule="atLeast"/>
        </w:trPr>
        <w:tc>
          <w:tcPr>
            <w:tcW w:type="dxa" w:w="3362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Компонент</w:t>
            </w:r>
          </w:p>
        </w:tc>
        <w:tc>
          <w:tcPr>
            <w:tcW w:type="dxa" w:w="3362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Вес</w:t>
            </w:r>
          </w:p>
        </w:tc>
        <w:tc>
          <w:tcPr>
            <w:tcW w:type="dxa" w:w="3362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Пример измерения</w:t>
            </w:r>
          </w:p>
        </w:tc>
      </w:tr>
      <w:tr>
        <w:trPr>
          <w:trHeight w:hRule="atLeast"/>
        </w:trPr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Целевое соответствие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15%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доля операций и результатов, соответствующих паспорту потока</w:t>
            </w:r>
          </w:p>
        </w:tc>
      </w:tr>
      <w:tr>
        <w:trPr>
          <w:trHeight w:hRule="atLeast"/>
        </w:trPr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Скорость прохождения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15%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время от утверждения до полезного использования ресурса</w:t>
            </w:r>
          </w:p>
        </w:tc>
      </w:tr>
      <w:tr>
        <w:trPr>
          <w:trHeight w:hRule="atLeast"/>
        </w:trPr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Стоимость потока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10%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транзакционные и административные издержки</w:t>
            </w:r>
          </w:p>
        </w:tc>
      </w:tr>
      <w:tr>
        <w:trPr>
          <w:trHeight w:hRule="atLeast"/>
        </w:trPr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Результативность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25%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отношение фактического результата к целевому</w:t>
            </w:r>
          </w:p>
        </w:tc>
      </w:tr>
      <w:tr>
        <w:trPr>
          <w:trHeight w:hRule="atLeast"/>
        </w:trPr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Устойчивость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15%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способность результата сохраняться после окончания финансирования</w:t>
            </w:r>
          </w:p>
        </w:tc>
      </w:tr>
      <w:tr>
        <w:trPr>
          <w:trHeight w:hRule="atLeast"/>
        </w:trPr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Риск и доказательность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10%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качество подтверждений, доля аномалий, нарушения</w:t>
            </w:r>
          </w:p>
        </w:tc>
      </w:tr>
      <w:tr>
        <w:trPr>
          <w:trHeight w:hRule="atLeast"/>
        </w:trPr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Обратная связь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10%</w:t>
            </w:r>
          </w:p>
        </w:tc>
        <w:tc>
          <w:tcPr>
            <w:tcW w:type="dxa" w:w="3362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скорость обнаружения отклонений и корректировки</w:t>
            </w:r>
          </w:p>
        </w:tc>
      </w:tr>
    </w:tbl>
    <w:p>
      <w:pPr>
        <w:pStyle w:val="Heading1"/>
        <w:keepNext/>
        <w:widowControl/>
      </w:pPr>
      <w:r>
        <w:t>13. MVP ЭФС: 120 дней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rPr>
          <w:trHeight w:hRule="atLeast"/>
        </w:trPr>
        <w:tc>
          <w:tcPr>
            <w:tcW w:type="dxa" w:w="5043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Период</w:t>
            </w:r>
          </w:p>
        </w:tc>
        <w:tc>
          <w:tcPr>
            <w:tcW w:type="dxa" w:w="5043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b/>
                <w:sz w:val="19"/>
              </w:rPr>
              <w:t>Результат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0–30 дней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выбор одной программы; модель данных; паспорт потока; 20–30 KPI; права и роли; прототип 13×20.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31–60 дней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интеграция 2–3 источников; журнал событий; правила допустимых операций; первый WIST-экран.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61–90 дней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аналитика аномалий; сценарии ТЕТТА; контур доказательств; пилот на ограниченной группе участников.</w:t>
            </w:r>
          </w:p>
        </w:tc>
      </w:tr>
      <w:tr>
        <w:trPr>
          <w:trHeight w:hRule="atLeast"/>
        </w:trPr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91–120 дней</w:t>
            </w:r>
          </w:p>
        </w:tc>
        <w:tc>
          <w:tcPr>
            <w:tcW w:type="dxa" w:w="504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Aptos" w:hAnsi="Aptos" w:eastAsia="Aptos"/>
                <w:sz w:val="18"/>
              </w:rPr>
              <w:t>оценка эффекта; независимый аудит; корректировка правил; решение о масштабировании.</w:t>
            </w:r>
          </w:p>
        </w:tc>
      </w:tr>
    </w:tbl>
    <w:p>
      <w:pPr>
        <w:pStyle w:val="Heading1"/>
        <w:keepNext/>
        <w:widowControl/>
      </w:pPr>
      <w:r>
        <w:t>14. Критерии готовности к масштабированию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не менее 90% финансовых событий связываются с паспортом программы и конечным результатом;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основные отклонения выявляются быстрее действующей процедуры контроля;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снижается административная стоимость контроля без потери доказательности;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участники понимают правила и могут обжаловать ошибочные ограничения;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независимый аудит подтверждает корректность данных и журнала решений;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эффект пилота устойчив и не создаёт неприемлемых побочных последствий;</w:t>
      </w:r>
    </w:p>
    <w:p>
      <w:pPr>
        <w:pStyle w:val="ListBullet"/>
        <w:widowControl/>
        <w:spacing w:after="80"/>
      </w:pPr>
      <w:r>
        <w:rPr>
          <w:rFonts w:ascii="Aptos" w:hAnsi="Aptos" w:eastAsia="Aptos"/>
          <w:sz w:val="21"/>
        </w:rPr>
        <w:t>архитектура выдерживает масштабирование без централизации лишних персональных данных.</w:t>
      </w:r>
    </w:p>
    <w:p>
      <w:pPr>
        <w:pStyle w:val="Heading1"/>
        <w:keepNext/>
        <w:widowControl/>
      </w:pPr>
      <w:r>
        <w:t>15. Итоговая модель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rPr>
          <w:trHeight w:hRule="atLeast"/>
        </w:trPr>
        <w:tc>
          <w:tcPr>
            <w:tcW w:type="dxa" w:w="10086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color w:val="1F4E79"/>
                <w:sz w:val="21"/>
              </w:rPr>
              <w:t xml:space="preserve">ЭФС в ЭКВИЛИБРИУМ: </w:t>
            </w:r>
            <w:r>
              <w:rPr>
                <w:rFonts w:ascii="Aptos" w:hAnsi="Aptos" w:eastAsia="Aptos"/>
                <w:sz w:val="21"/>
              </w:rPr>
              <w:t>не новая валюта как самоцель, а финансовая операционная система, которая связывает стратегию, ресурс, правило, исполнение, доказательство и результат. ТЕТТА отвечает за понимание и сценарии; ЭФС — за управляемый маршрут финансового ресурса; человек и институты сохраняют ответственность за решения.</w:t>
            </w:r>
          </w:p>
        </w:tc>
      </w:tr>
    </w:tbl>
    <w:p>
      <w:pPr>
        <w:widowControl/>
        <w:spacing w:after="20"/>
      </w:pPr>
    </w:p>
    <w:p>
      <w:pPr>
        <w:widowControl/>
        <w:jc w:val="center"/>
      </w:pPr>
      <w:r>
        <w:t>Формула контура:</w:t>
      </w:r>
      <w:r>
        <w:rPr>
          <w:rFonts w:ascii="Aptos" w:hAnsi="Aptos" w:eastAsia="Aptos"/>
          <w:b/>
          <w:color w:val="1F4E79"/>
          <w:sz w:val="24"/>
        </w:rPr>
        <w:t>ЦЕЛЬ → РЕСУРС → ПРАВИЛО → ПОТОК → ДЕЙСТВИЕ → РЕЗУЛЬТАТ → ДОКАЗАТЕЛЬСТВО → КОРРЕКЦИЯ</w:t>
      </w:r>
    </w:p>
    <w:p>
      <w:pPr>
        <w:pStyle w:val="Heading1"/>
        <w:keepNext/>
        <w:widowControl/>
      </w:pPr>
      <w:r>
        <w:t>Приложение. Минимальный набор сущностей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rHeight w:hRule="atLeast"/>
        </w:trPr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Программа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Проект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Цель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Показатель</w:t>
            </w:r>
          </w:p>
        </w:tc>
      </w:tr>
      <w:tr>
        <w:trPr>
          <w:trHeight w:hRule="atLeast"/>
        </w:trPr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Источник финансирования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Транш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Получатель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Контракт</w:t>
            </w:r>
          </w:p>
        </w:tc>
      </w:tr>
      <w:tr>
        <w:trPr>
          <w:trHeight w:hRule="atLeast"/>
        </w:trPr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Операция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Объект результата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Доказательство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Риск</w:t>
            </w:r>
          </w:p>
        </w:tc>
      </w:tr>
      <w:tr>
        <w:trPr>
          <w:trHeight w:hRule="atLeast"/>
        </w:trPr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Решение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Событие контроля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Аудитор</w:t>
            </w:r>
          </w:p>
        </w:tc>
        <w:tc>
          <w:tcPr>
            <w:tcW w:type="dxa" w:w="2521"/>
            <w:tcMar>
              <w:top w:w="110" w:type="dxa"/>
              <w:start w:w="90" w:type="dxa"/>
              <w:bottom w:w="110" w:type="dxa"/>
              <w:end w:w="90" w:type="dxa"/>
            </w:tcMar>
            <w:shd w:fill="F2F6FA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Матрица 13×20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 w:eastAsia="Aptos"/>
        <w:color w:val="828282"/>
        <w:sz w:val="16"/>
      </w:rPr>
      <w:t>Стратегический концепт • версия 1.0</w:t>
    </w:r>
  </w:p>
  <w:p>
    <w:pPr>
      <w:jc w:val="right"/>
    </w:pPr>
    <w:r>
      <w:t xml:space="preserve">Стр.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b/>
        <w:color w:val="787878"/>
        <w:sz w:val="16"/>
      </w:rPr>
      <w:t>ЭКВИЛИБРИУМ  •  ЭФС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2B46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4444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42B46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FSSubtitle">
    <w:name w:val="EFS Subtitle"/>
    <w:pPr>
      <w:spacing w:after="240"/>
    </w:pPr>
    <w:rPr>
      <w:rFonts w:ascii="Aptos" w:hAnsi="Aptos"/>
      <w:color w:val="595959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ЭФС — Эволюционная финансовая система</dc:title>
  <dc:subject>Финансовый контур ЭКВИЛИБРИУМ: ТЕТТА + 13×20 + умные деньги</dc:subject>
  <dc:creator>python-docx</dc:creator>
  <cp:keywords>ЭКВИЛИБРИУМ, ЭФС, ТЕТТА, 13x20, умные деньги, финансовая архитектура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