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80"/>
      </w:pPr>
    </w:p>
    <w:p>
      <w:pPr>
        <w:jc w:val="center"/>
      </w:pPr>
      <w:r>
        <w:rPr>
          <w:rFonts w:ascii="Aptos" w:hAnsi="Aptos"/>
          <w:b/>
          <w:i w:val="0"/>
          <w:color w:val="2BA6A6"/>
          <w:sz w:val="19"/>
        </w:rPr>
        <w:t>СТРАТЕГИЧЕСКАЯ КОНЦЕПЦИЯ  •  ВЕРСИЯ 1.0</w:t>
      </w:r>
    </w:p>
    <w:p>
      <w:pPr>
        <w:spacing w:before="840" w:after="160"/>
        <w:jc w:val="center"/>
      </w:pPr>
      <w:r>
        <w:rPr>
          <w:rFonts w:ascii="Aptos Display" w:hAnsi="Aptos Display"/>
          <w:b/>
          <w:i w:val="0"/>
          <w:color w:val="17324D"/>
          <w:sz w:val="58"/>
        </w:rPr>
        <w:t>ЕДИНЫЕ</w:t>
        <w:br/>
        <w:t>УНИФИЦИРОВАННЫЕ</w:t>
        <w:br/>
        <w:t>ТЕХНОЛОГИИ</w:t>
      </w:r>
    </w:p>
    <w:p>
      <w:pPr>
        <w:spacing w:after="560"/>
        <w:jc w:val="center"/>
      </w:pPr>
      <w:r>
        <w:rPr>
          <w:rFonts w:ascii="Aptos" w:hAnsi="Aptos"/>
          <w:b w:val="0"/>
          <w:i w:val="0"/>
          <w:color w:val="1E6FA8"/>
          <w:sz w:val="26"/>
        </w:rPr>
        <w:t>ЕУТ — универсальная архитектура преобразования знаний, ресурсов и решений</w:t>
        <w:br/>
        <w:t>в проверяемый, совместимый и масштабируемый результат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ФОРМУЛА ЕУТ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Закон → модель → стандарт → технология → доказательство → доверие → масштабирование</w:t>
            </w:r>
          </w:p>
        </w:tc>
      </w:tr>
    </w:tbl>
    <w:p>
      <w:pPr>
        <w:spacing w:after="0"/>
      </w:pPr>
    </w:p>
    <w:p>
      <w:pPr>
        <w:spacing w:after="1520"/>
      </w:pPr>
    </w:p>
    <w:p>
      <w:pPr>
        <w:jc w:val="center"/>
      </w:pPr>
      <w:r>
        <w:rPr>
          <w:rFonts w:ascii="Aptos" w:hAnsi="Aptos"/>
          <w:b/>
          <w:i w:val="0"/>
          <w:color w:val="5D6A74"/>
          <w:sz w:val="20"/>
        </w:rPr>
        <w:t>Архитектура: ЭКВИЛИБРИУМ — СФЕРА — ECO‑PPA — СПЕЦЗАЩИТА</w:t>
        <w:br/>
        <w:t>23 августа 2026 года</w:t>
      </w:r>
    </w:p>
    <w:p>
      <w:r>
        <w:br w:type="page"/>
      </w:r>
    </w:p>
    <w:p>
      <w:pPr>
        <w:pStyle w:val="Heading1"/>
      </w:pPr>
      <w:r>
        <w:t>Паспорт документа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/>
        </w:trP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Параметр</w:t>
            </w:r>
          </w:p>
        </w:tc>
        <w:tc>
          <w:tcPr>
            <w:tcW w:type="dxa" w:w="76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Наименование</w:t>
            </w:r>
          </w:p>
        </w:tc>
        <w:tc>
          <w:tcPr>
            <w:tcW w:type="dxa" w:w="76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Единые унифицированные технологии (ЕУТ)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Статус</w:t>
            </w:r>
          </w:p>
        </w:tc>
        <w:tc>
          <w:tcPr>
            <w:tcW w:type="dxa" w:w="76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Стратегическая концепция и рамочная архитектура версии 1.0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Назначение</w:t>
            </w:r>
          </w:p>
        </w:tc>
        <w:tc>
          <w:tcPr>
            <w:tcW w:type="dxa" w:w="76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Создание общего языка и воспроизводимой системы перехода от замысла к подтверждённому результату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Уровни применения</w:t>
            </w:r>
          </w:p>
        </w:tc>
        <w:tc>
          <w:tcPr>
            <w:tcW w:type="dxa" w:w="76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Проект • организация • отрасль • регион • государство • международная кооперация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Ядро</w:t>
            </w:r>
          </w:p>
        </w:tc>
        <w:tc>
          <w:tcPr>
            <w:tcW w:type="dxa" w:w="76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Универсальные законы систем, единые данные, цифровые модели, стандарты доказательности и контур управления жизненным циклом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Авторская система</w:t>
            </w:r>
          </w:p>
        </w:tc>
        <w:tc>
          <w:tcPr>
            <w:tcW w:type="dxa" w:w="76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ЭКВИЛИБРИУМ / SOKOL EQUILIBRIS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Правовой статус</w:t>
            </w:r>
          </w:p>
        </w:tc>
        <w:tc>
          <w:tcPr>
            <w:tcW w:type="dxa" w:w="76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Концептуальный документ; конкретные решения требуют научной, технической, финансовой и юридической верификации</w:t>
            </w:r>
          </w:p>
        </w:tc>
      </w:tr>
    </w:tbl>
    <w:p>
      <w:pPr>
        <w:spacing w:after="0"/>
      </w:pPr>
    </w:p>
    <w:p>
      <w:pPr>
        <w:pStyle w:val="Heading2"/>
      </w:pPr>
      <w:r>
        <w:t>Аннотация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ЕУТ — это метатехнологическая платформа, которая объединяет научные знания, инженерные методы, цифровые модели, стандарты, регламенты, финансовые механизмы и кооперацию. Её задача — сделать разнородные решения сопоставимыми, совместимыми и управляемыми на всём жизненном цикле: от постановки задачи и моделирования до пилотирования, независимой валидации, эксплуатации и масштабирования.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Концепция не подменяет отраслевые технологии. Она задаёт надсистемный каркас, в котором каждая технология получает единый паспорт, доказательную базу, показатели воздействия, интерфейсы обмена данными, правила безопасности и маршрут внедрения.</w:t>
      </w:r>
    </w:p>
    <w:p>
      <w:pPr>
        <w:pStyle w:val="Heading2"/>
      </w:pPr>
      <w:r>
        <w:t>Ключевой результат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РЕЗУЛЬТАТ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Единое пространство доверия, в котором решения можно измерять, сравнивать, комбинировать, финансировать и масштабировать без потери смысла и ответственности.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Содержание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1. Резюме для принятия решений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2. Основания и проблематика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3. Определение и границы ЕУТ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4. Универсальные принципы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5. Архитектура ЕУТ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6. Технологические контуры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7. Единый паспорт технологии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8. Жизненный цикл и доказательность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9. Интеграция с экосистемой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10. Управление, этика и безопасность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11. Экономическая и финансовая модель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12. Международное позиционирование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13. Дорожная карта 2026–2035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14. Пилотная программа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15. Система показателей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16. Риски и меры управления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17. Проект декларации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18. Заключение и приложения</w:t>
      </w:r>
    </w:p>
    <w:p>
      <w:pPr>
        <w:pStyle w:val="Heading1"/>
      </w:pPr>
      <w:r>
        <w:t>1. Резюме для принятия решений</w:t>
      </w:r>
    </w:p>
    <w:p>
      <w:pPr>
        <w:pStyle w:val="Lead"/>
        <w:keepLines w:val="0"/>
        <w:widowControl/>
      </w:pPr>
      <w:r>
        <w:rPr>
          <w:rFonts w:ascii="Aptos" w:hAnsi="Aptos"/>
          <w:b w:val="0"/>
          <w:i w:val="0"/>
          <w:color w:val="17324D"/>
          <w:sz w:val="25"/>
        </w:rPr>
        <w:t>Мир располагает огромным числом технологий, но испытывает дефицит совместимости, доверия и способности к системному масштабированию. ЕУТ отвечает на этот разрыв: создаёт единый цикл, в котором проблема описывается через измеримые параметры, решение моделируется, проверяется, стандартизируется и допускается к применению на основании доказательств.</w:t>
      </w:r>
    </w:p>
    <w:p>
      <w:pPr>
        <w:pStyle w:val="Heading2"/>
      </w:pPr>
      <w:r>
        <w:t>Пять решений, которые вводит ЕУТ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Единый язык описания технологий, проектов, эффектов и рисков.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Единый цифровой паспорт решения с версионностью и происхождением данных.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Единая доказательная цепочка от гипотезы до подтверждённого результата.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Модульная совместимость решений через открытые интерфейсы и реестры.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Управление масштабированием через кооперацию, финансирование и контроль воздействия.</w:t>
      </w:r>
    </w:p>
    <w:p>
      <w:pPr>
        <w:pStyle w:val="Heading2"/>
      </w:pPr>
      <w:r>
        <w:t>Предлагаемое управленческое решение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РЕШЕНИЕ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Учредить программу ЕУТ 1.0, сформировать Совет ЕУТ и запустить три пилота с независимой валидацией, публичным реестром результатов и международной экспертной группой.</w:t>
            </w:r>
          </w:p>
        </w:tc>
      </w:tr>
    </w:tbl>
    <w:p>
      <w:pPr>
        <w:spacing w:after="0"/>
      </w:pPr>
    </w:p>
    <w:p>
      <w:pPr>
        <w:pStyle w:val="Heading1"/>
      </w:pPr>
      <w:r>
        <w:t>2. Основания и проблематика</w:t>
      </w:r>
    </w:p>
    <w:p>
      <w:pPr>
        <w:pStyle w:val="Heading2"/>
      </w:pPr>
      <w:r>
        <w:t>2.1. Системный разрыв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Наука, государственное управление, промышленность, финансы и общество используют разные классификаторы, горизонты планирования и критерии успеха. Из-за этого данные не соединяются, эффекты трудно доказать, а сильные решения остаются локальными. Одновременно растут климатические, биологические, инфраструктурные, социальные и технологические риски, требующие согласованного действия многих участников.</w:t>
      </w:r>
    </w:p>
    <w:p>
      <w:pPr>
        <w:pStyle w:val="Heading2"/>
      </w:pPr>
      <w:r>
        <w:t>2.2. Типовые ограничения существующей модели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Ограничение</w:t>
            </w:r>
          </w:p>
        </w:tc>
        <w:tc>
          <w:tcPr>
            <w:tcW w:type="dxa" w:w="345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Последствие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Ответ ЕУТ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Фрагментарность данных</w:t>
            </w:r>
          </w:p>
        </w:tc>
        <w:tc>
          <w:tcPr>
            <w:tcW w:type="dxa" w:w="345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Повторные измерения и несовместимые выводы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Единая семантика и происхождение данных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Разрыв между наукой и внедрением</w:t>
            </w:r>
          </w:p>
        </w:tc>
        <w:tc>
          <w:tcPr>
            <w:tcW w:type="dxa" w:w="345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Пилоты не доходят до эксплуатации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Жизненный цикл с воротами готовности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Слабая доказательность эффекта</w:t>
            </w:r>
          </w:p>
        </w:tc>
        <w:tc>
          <w:tcPr>
            <w:tcW w:type="dxa" w:w="345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Недоверие инвесторов и общества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Независимая валидация и реестр доказательств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Закрытые технологические контуры</w:t>
            </w:r>
          </w:p>
        </w:tc>
        <w:tc>
          <w:tcPr>
            <w:tcW w:type="dxa" w:w="345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Высокая зависимость от поставщика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Модульность, переносимость и открытые интерфейсы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Оценка только финансового результата</w:t>
            </w:r>
          </w:p>
        </w:tc>
        <w:tc>
          <w:tcPr>
            <w:tcW w:type="dxa" w:w="345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Скрытые экологические и социальные издержки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Многоконтурная оценка ценности и воздействия</w:t>
            </w:r>
          </w:p>
        </w:tc>
      </w:tr>
    </w:tbl>
    <w:p>
      <w:pPr>
        <w:spacing w:after="0"/>
      </w:pPr>
    </w:p>
    <w:p>
      <w:pPr>
        <w:pStyle w:val="Heading2"/>
      </w:pPr>
      <w:r>
        <w:t>2.3. Предмет унификации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понятия, классификаторы, единицы измерения и метаданные;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процессы постановки задач, проектирования, испытаний и эксплуатации;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требования к безопасности, этике, прозрачности и ответственности;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показатели эффективности, устойчивости и общественного воздействия;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интерфейсы обмена данными и правила межсистемной совместимости;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методы финансирования, страхования, верификации и масштабирования.</w:t>
      </w:r>
    </w:p>
    <w:p>
      <w:r>
        <w:br w:type="page"/>
      </w:r>
    </w:p>
    <w:p>
      <w:pPr>
        <w:pStyle w:val="Heading1"/>
      </w:pPr>
      <w:r>
        <w:t>3. Определение и границы ЕУТ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ОПРЕДЕЛЕНИЕ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ЕУТ — открытая многоуровневая система принципов, моделей, стандартов, протоколов и инструментов, обеспечивающая воспроизводимое преобразование замысла и ресурсов в безопасный, измеримый и подтверждённый результат.</w:t>
            </w:r>
          </w:p>
        </w:tc>
      </w:tr>
    </w:tbl>
    <w:p>
      <w:pPr>
        <w:spacing w:after="0"/>
      </w:pPr>
    </w:p>
    <w:p>
      <w:pPr>
        <w:pStyle w:val="Heading2"/>
      </w:pPr>
      <w:r>
        <w:t>3.1. Что входит в ЕУТ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онтология объектов, процессов, воздействий и участников;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реестры проблем, решений, технологий, компетенций и доказательств;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цифровые двойники и сценарное моделирование;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унифицированные технологические карты и паспорта;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методики оценки зрелости, риска и интегрального эффекта;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контуры мониторинга, обратной связи и корректирующих действий;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институциональные механизмы кооперации и разрешения конфликтов.</w:t>
      </w:r>
    </w:p>
    <w:p>
      <w:pPr>
        <w:pStyle w:val="Heading2"/>
      </w:pPr>
      <w:r>
        <w:t>3.2. Что ЕУТ не является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ЕУТ не является одной универсальной машиной, закрытой идеологией, заменой науки, отраслевого регулирования или национального суверенитета. Она не гарантирует результат без испытаний. ЕУТ создаёт проверяемую среду согласования и совместного действия, сохраняя различия отраслей, культур и правовых систем.</w:t>
      </w:r>
    </w:p>
    <w:p>
      <w:pPr>
        <w:pStyle w:val="Heading2"/>
      </w:pPr>
      <w:r>
        <w:t>3.3. Уровни унификации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19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Уровень</w:t>
            </w:r>
          </w:p>
        </w:tc>
        <w:tc>
          <w:tcPr>
            <w:tcW w:type="dxa" w:w="3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Объект</w:t>
            </w:r>
          </w:p>
        </w:tc>
        <w:tc>
          <w:tcPr>
            <w:tcW w:type="dxa" w:w="453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19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Смысловой</w:t>
            </w:r>
          </w:p>
        </w:tc>
        <w:tc>
          <w:tcPr>
            <w:tcW w:type="dxa" w:w="3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Цели, ценности, определения</w:t>
            </w:r>
          </w:p>
        </w:tc>
        <w:tc>
          <w:tcPr>
            <w:tcW w:type="dxa" w:w="453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Однозначное понимание задачи</w:t>
            </w:r>
          </w:p>
        </w:tc>
      </w:tr>
      <w:tr>
        <w:tc>
          <w:tcPr>
            <w:tcW w:type="dxa" w:w="19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Информационный</w:t>
            </w:r>
          </w:p>
        </w:tc>
        <w:tc>
          <w:tcPr>
            <w:tcW w:type="dxa" w:w="3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Данные, метаданные, модели</w:t>
            </w:r>
          </w:p>
        </w:tc>
        <w:tc>
          <w:tcPr>
            <w:tcW w:type="dxa" w:w="453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Сопоставимость и прослеживаемость</w:t>
            </w:r>
          </w:p>
        </w:tc>
      </w:tr>
      <w:tr>
        <w:tc>
          <w:tcPr>
            <w:tcW w:type="dxa" w:w="19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Процессный</w:t>
            </w:r>
          </w:p>
        </w:tc>
        <w:tc>
          <w:tcPr>
            <w:tcW w:type="dxa" w:w="3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Роли, этапы, контрольные точки</w:t>
            </w:r>
          </w:p>
        </w:tc>
        <w:tc>
          <w:tcPr>
            <w:tcW w:type="dxa" w:w="453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Воспроизводимость исполнения</w:t>
            </w:r>
          </w:p>
        </w:tc>
      </w:tr>
      <w:tr>
        <w:tc>
          <w:tcPr>
            <w:tcW w:type="dxa" w:w="19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Технический</w:t>
            </w:r>
          </w:p>
        </w:tc>
        <w:tc>
          <w:tcPr>
            <w:tcW w:type="dxa" w:w="3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Интерфейсы, протоколы, модули</w:t>
            </w:r>
          </w:p>
        </w:tc>
        <w:tc>
          <w:tcPr>
            <w:tcW w:type="dxa" w:w="453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Совместимость систем</w:t>
            </w:r>
          </w:p>
        </w:tc>
      </w:tr>
      <w:tr>
        <w:tc>
          <w:tcPr>
            <w:tcW w:type="dxa" w:w="19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Доказательный</w:t>
            </w:r>
          </w:p>
        </w:tc>
        <w:tc>
          <w:tcPr>
            <w:tcW w:type="dxa" w:w="3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Метрики, испытания, валидация</w:t>
            </w:r>
          </w:p>
        </w:tc>
        <w:tc>
          <w:tcPr>
            <w:tcW w:type="dxa" w:w="453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Доверие к результату</w:t>
            </w:r>
          </w:p>
        </w:tc>
      </w:tr>
      <w:tr>
        <w:tc>
          <w:tcPr>
            <w:tcW w:type="dxa" w:w="19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Институциональный</w:t>
            </w:r>
          </w:p>
        </w:tc>
        <w:tc>
          <w:tcPr>
            <w:tcW w:type="dxa" w:w="3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Права, ответственность, финансирование</w:t>
            </w:r>
          </w:p>
        </w:tc>
        <w:tc>
          <w:tcPr>
            <w:tcW w:type="dxa" w:w="453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Законное и устойчивое масштабирование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4. Универсальные принципы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/>
        </w:trP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Принцип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Операционное содержание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Целостность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Решение оценивается как часть системы и по влиянию на смежные контуры.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Измеримость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Каждая цель связывается с базовой линией, показателем, методом измерения и порогом.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Воспроизводимость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Результат должен быть повторяем при заданных условиях и документированных допущениях.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Модульность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Сложные решения собираются из заменяемых совместимых модулей.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Прослеживаемость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Сохраняется происхождение данных, решений, версий и ответственности.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Безопасность по замыслу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Риски учитываются до внедрения, а не после возникновения ущерба.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Открытость при защите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Общественно значимая доказательность открыта; персональные данные, ИС и критические сведения защищены.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Обратная связь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Эксплуатационные данные непрерывно улучшают модель и регламент.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Справедливое распределение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Выгоды, риски и ответственность распределяются прозрачно.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Субсидиарность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Решение принимается на минимально достаточном уровне управления.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Технологический суверенитет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Критические функции не зависят от единственной неподконтрольной стороны.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Международная совместимость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Национальные решения могут соединяться через согласованные протоколы.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5. Архитектура ЕУТ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Архитектура построена как семь взаимосвязанных слоёв. Нижние слои фиксируют смысл и данные; средние обеспечивают моделирование и исполнение; верхние формируют доказательства, управление и масштабирование.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/>
        </w:trP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Слой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7. Масштабирование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Финансы, кооперация, тиражирование, международные программы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6. Доверие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Валидация, сертификация, аудит, реестр доказательств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5. Управление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Портфель, риски, права решений, этика и безопасность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4. Исполнение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Технологические карты, производственные цепочки, сервисы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3. Моделирование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Цифровые двойники, сценарии, оптимизация, прогноз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2. Данные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Наблюдение, качество, семантика, происхождение, доступ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1. Основания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Ценности, универсальные законы систем, цели и ограничения</w:t>
            </w:r>
          </w:p>
        </w:tc>
      </w:tr>
    </w:tbl>
    <w:p>
      <w:pPr>
        <w:spacing w:after="0"/>
      </w:pPr>
    </w:p>
    <w:p>
      <w:pPr>
        <w:pStyle w:val="Heading2"/>
      </w:pPr>
      <w:r>
        <w:t>5.1. Сквозные механизмы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единая идентификация объектов, участников, документов и версий;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машиночитаемые политики доступа и ответственности;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управление конфигурациями и изменениями;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международная терминология и многоязычные справочники;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публичные панели показателей и защищённые контуры критических данных.</w:t>
      </w:r>
    </w:p>
    <w:p>
      <w:pPr>
        <w:pStyle w:val="Heading2"/>
      </w:pPr>
      <w:r>
        <w:t>5.2. Формула преобразования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ЦИКЛ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Наблюдение → понимание → моделирование → решение → кооперация → пилот → доказательство → стандарт → масштабирование → новое наблюдение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6. Технологические контуры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/>
        </w:trP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Контур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Назначение</w:t>
            </w:r>
          </w:p>
        </w:tc>
      </w:tr>
      <w:t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Наблюдение и сенсорика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Получение достоверных данных о природных, технических и социальных системах.</w:t>
            </w:r>
          </w:p>
        </w:tc>
      </w:tr>
      <w:t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Данные и знания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Онтологии, графы знаний, реестры, качество и управление происхождением данных.</w:t>
            </w:r>
          </w:p>
        </w:tc>
      </w:tr>
      <w:t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ИИ и прогнозирование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Сценарный анализ, раннее предупреждение, поддержка решений и объяснимость моделей.</w:t>
            </w:r>
          </w:p>
        </w:tc>
      </w:tr>
      <w:t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Материаловедение и производство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Цифровые технологические карты, качество, ресурсная эффективность, замкнутые циклы.</w:t>
            </w:r>
          </w:p>
        </w:tc>
      </w:tr>
      <w:t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Энергетика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Баланс генерации, накопления, сетей и спроса; низкоуглеродные и автономные решения.</w:t>
            </w:r>
          </w:p>
        </w:tc>
      </w:tr>
      <w:t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Экология и биоценозы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Мониторинг экосистем, причинно-следственный анализ и восстановительные программы.</w:t>
            </w:r>
          </w:p>
        </w:tc>
      </w:tr>
      <w:t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Инфраструктура и территории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Цифровые двойники, устойчивость объектов, логистика и управление жизненным циклом.</w:t>
            </w:r>
          </w:p>
        </w:tc>
      </w:tr>
      <w:t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Здоровье и развитие человека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Профилактика, персонализированные траектории и стандарты развития при защите прав.</w:t>
            </w:r>
          </w:p>
        </w:tc>
      </w:tr>
      <w:t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Социальная кооперация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СФЕРА инициатив, биржа компетенций, кооперативные модели и измеримый общественный эффект.</w:t>
            </w:r>
          </w:p>
        </w:tc>
      </w:tr>
      <w:t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Финансы и доказательные активы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ECO‑PPA, ESG‑IR, проектное финансирование, страхование и выпуск инструментов под подтверждённый эффект.</w:t>
            </w:r>
          </w:p>
        </w:tc>
      </w:tr>
      <w:t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Безопасность и устойчивость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Раннее предупреждение, отказоустойчивость, киберзащита и межведомственная координация.</w:t>
            </w:r>
          </w:p>
        </w:tc>
      </w:tr>
      <w:tr>
        <w:tc>
          <w:tcPr>
            <w:tcW w:type="dxa" w:w="29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Культура и наследие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Цифровое сохранение, происхождение ценностей, доступ и межпоколенческая передача.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7. Единый паспорт технологии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Паспорт — минимальная машиночитаемая единица ЕУТ. Он создаётся для каждого решения и обновляется на протяжении жизненного цикла.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/>
        </w:trPr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Раздел паспорта</w:t>
            </w:r>
          </w:p>
        </w:tc>
        <w:tc>
          <w:tcPr>
            <w:tcW w:type="dxa" w:w="7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Обязательное содержание</w:t>
            </w:r>
          </w:p>
        </w:tc>
      </w:tr>
      <w:tr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Идентичность</w:t>
            </w:r>
          </w:p>
        </w:tc>
        <w:tc>
          <w:tcPr>
            <w:tcW w:type="dxa" w:w="7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Наименование, версия, владелец, статус, область применения</w:t>
            </w:r>
          </w:p>
        </w:tc>
      </w:tr>
      <w:tr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Проблема и цель</w:t>
            </w:r>
          </w:p>
        </w:tc>
        <w:tc>
          <w:tcPr>
            <w:tcW w:type="dxa" w:w="7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Базовая линия, целевое состояние, границы системы</w:t>
            </w:r>
          </w:p>
        </w:tc>
      </w:tr>
      <w:tr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Научное основание</w:t>
            </w:r>
          </w:p>
        </w:tc>
        <w:tc>
          <w:tcPr>
            <w:tcW w:type="dxa" w:w="7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Гипотеза, механизм действия, ссылки на исследования и допущения</w:t>
            </w:r>
          </w:p>
        </w:tc>
      </w:tr>
      <w:tr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Техническое описание</w:t>
            </w:r>
          </w:p>
        </w:tc>
        <w:tc>
          <w:tcPr>
            <w:tcW w:type="dxa" w:w="7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Архитектура, состав, входы, выходы, интерфейсы</w:t>
            </w:r>
          </w:p>
        </w:tc>
      </w:tr>
      <w:tr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Ресурсы</w:t>
            </w:r>
          </w:p>
        </w:tc>
        <w:tc>
          <w:tcPr>
            <w:tcW w:type="dxa" w:w="7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Материалы, энергия, данные, компетенции, инфраструктура</w:t>
            </w:r>
          </w:p>
        </w:tc>
      </w:tr>
      <w:tr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Эффекты</w:t>
            </w:r>
          </w:p>
        </w:tc>
        <w:tc>
          <w:tcPr>
            <w:tcW w:type="dxa" w:w="7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Экономические, экологические, социальные и системные показатели</w:t>
            </w:r>
          </w:p>
        </w:tc>
      </w:tr>
      <w:tr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Риски</w:t>
            </w:r>
          </w:p>
        </w:tc>
        <w:tc>
          <w:tcPr>
            <w:tcW w:type="dxa" w:w="7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Опасности, сценарии отказа, ограничения и меры контроля</w:t>
            </w:r>
          </w:p>
        </w:tc>
      </w:tr>
      <w:tr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Доказательства</w:t>
            </w:r>
          </w:p>
        </w:tc>
        <w:tc>
          <w:tcPr>
            <w:tcW w:type="dxa" w:w="7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Протоколы испытаний, результаты, независимые заключения</w:t>
            </w:r>
          </w:p>
        </w:tc>
      </w:tr>
      <w:tr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Право и ИС</w:t>
            </w:r>
          </w:p>
        </w:tc>
        <w:tc>
          <w:tcPr>
            <w:tcW w:type="dxa" w:w="7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Лицензии, патенты, требования регулирования, права на данные</w:t>
            </w:r>
          </w:p>
        </w:tc>
      </w:tr>
      <w:tr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Эксплуатация</w:t>
            </w:r>
          </w:p>
        </w:tc>
        <w:tc>
          <w:tcPr>
            <w:tcW w:type="dxa" w:w="7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Регламент, мониторинг, обслуживание, завершение жизненного цикла</w:t>
            </w:r>
          </w:p>
        </w:tc>
      </w:tr>
      <w:tr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Масштабирование</w:t>
            </w:r>
          </w:p>
        </w:tc>
        <w:tc>
          <w:tcPr>
            <w:tcW w:type="dxa" w:w="7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Условия тиражирования, локализация, стоимость и партнёрская модель</w:t>
            </w:r>
          </w:p>
        </w:tc>
      </w:tr>
    </w:tbl>
    <w:p>
      <w:pPr>
        <w:spacing w:after="0"/>
      </w:pPr>
    </w:p>
    <w:p>
      <w:pPr>
        <w:pStyle w:val="Heading2"/>
      </w:pPr>
      <w:r>
        <w:t>7.1. Код готовности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11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Уровень</w:t>
            </w:r>
          </w:p>
        </w:tc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Состояние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Условие перехода</w:t>
            </w:r>
          </w:p>
        </w:tc>
      </w:tr>
      <w:tr>
        <w:tc>
          <w:tcPr>
            <w:tcW w:type="dxa" w:w="11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EUT‑0</w:t>
            </w:r>
          </w:p>
        </w:tc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Замысел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Определена проблема и системная граница</w:t>
            </w:r>
          </w:p>
        </w:tc>
      </w:tr>
      <w:tr>
        <w:tc>
          <w:tcPr>
            <w:tcW w:type="dxa" w:w="11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EUT‑1</w:t>
            </w:r>
          </w:p>
        </w:tc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Научная гипотеза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Подтверждён механизм и критерии опровержения</w:t>
            </w:r>
          </w:p>
        </w:tc>
      </w:tr>
      <w:tr>
        <w:tc>
          <w:tcPr>
            <w:tcW w:type="dxa" w:w="11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EUT‑2</w:t>
            </w:r>
          </w:p>
        </w:tc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Лабораторный прототип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Получен воспроизводимый результат</w:t>
            </w:r>
          </w:p>
        </w:tc>
      </w:tr>
      <w:tr>
        <w:tc>
          <w:tcPr>
            <w:tcW w:type="dxa" w:w="11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EUT‑3</w:t>
            </w:r>
          </w:p>
        </w:tc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Полигонный пилот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Подтверждена работоспособность в приближённых условиях</w:t>
            </w:r>
          </w:p>
        </w:tc>
      </w:tr>
      <w:tr>
        <w:tc>
          <w:tcPr>
            <w:tcW w:type="dxa" w:w="11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EUT‑4</w:t>
            </w:r>
          </w:p>
        </w:tc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Эксплуатационный пилот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Доказана ценность и управляемость рисков</w:t>
            </w:r>
          </w:p>
        </w:tc>
      </w:tr>
      <w:tr>
        <w:tc>
          <w:tcPr>
            <w:tcW w:type="dxa" w:w="11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EUT‑5</w:t>
            </w:r>
          </w:p>
        </w:tc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Стандартизированное решение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Утверждены паспорт, регламент и доказательства</w:t>
            </w:r>
          </w:p>
        </w:tc>
      </w:tr>
      <w:tr>
        <w:tc>
          <w:tcPr>
            <w:tcW w:type="dxa" w:w="11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EUT‑6</w:t>
            </w:r>
          </w:p>
        </w:tc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Масштабируемая технология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Подтверждены экономика, цепочка поставок и локализация</w:t>
            </w:r>
          </w:p>
        </w:tc>
      </w:tr>
      <w:tr>
        <w:tc>
          <w:tcPr>
            <w:tcW w:type="dxa" w:w="11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EUT‑7</w:t>
            </w:r>
          </w:p>
        </w:tc>
        <w:tc>
          <w:tcPr>
            <w:tcW w:type="dxa" w:w="25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Инфраструктурный стандарт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Решение совместимо и применяется в нескольких юрисдикциях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8. Жизненный цикл и доказательность</w:t>
      </w:r>
    </w:p>
    <w:p>
      <w:pPr>
        <w:pStyle w:val="Heading2"/>
      </w:pPr>
      <w:r>
        <w:t>8.1. Девять стадий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Формулирование проблемы и системной границы.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Сбор базовой линии и проверка качества исходных данных.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Формирование гипотез и альтернативных сценариев.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Проектирование решения и цифровой модели.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Лабораторная или стендовая проверка.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Пилот в реальной среде с заранее заданным протоколом.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Независимая валидация эффекта, безопасности и экономики.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Стандартизация, финансирование и тиражирование.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Эксплуатационный мониторинг, обновление или вывод из обращения.</w:t>
      </w:r>
    </w:p>
    <w:p>
      <w:pPr>
        <w:pStyle w:val="Heading2"/>
      </w:pPr>
      <w:r>
        <w:t>8.2. Доказательная цепочка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/>
        </w:trP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Элемент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Контрольный вопрос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Данные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Откуда они получены, насколько полны и пригодны?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Модель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Какие допущения, неопределённости и пределы применимости?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Эксперимент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Можно ли повторить результат независимо?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Причинность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Доказано ли, что эффект вызван именно решением?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Воздействие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Кто получает выгоду и кто несёт издержки?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Экономика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Сохраняется ли результат при масштабировании?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Безопасность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Какие остаточные риски остаются и кто ими управляет?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Версия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Какое изменение повлияло на результат?</w:t>
            </w:r>
          </w:p>
        </w:tc>
      </w:tr>
    </w:tbl>
    <w:p>
      <w:pPr>
        <w:spacing w:after="0"/>
      </w:pPr>
    </w:p>
    <w:p>
      <w:pPr>
        <w:pStyle w:val="Heading2"/>
      </w:pPr>
      <w:r>
        <w:t>8.3. Принцип независимости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Разработчик формирует доказательства, оператор подтверждает эксплуатационные характеристики, а независимый орган валидации проверяет метод, данные и заявленный эффект. Конфликты интересов раскрываются; отрицательные результаты сохраняются в реестре наравне с положительными.</w:t>
      </w:r>
    </w:p>
    <w:p>
      <w:r>
        <w:br w:type="page"/>
      </w:r>
    </w:p>
    <w:p>
      <w:pPr>
        <w:pStyle w:val="Heading1"/>
      </w:pPr>
      <w:r>
        <w:t>9. Интеграция с экосистемой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Компонент</w:t>
            </w:r>
          </w:p>
        </w:tc>
        <w:tc>
          <w:tcPr>
            <w:tcW w:type="dxa" w:w="38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Роль в ЕУТ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Основной продукт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ЭКВИЛИБРИУМ</w:t>
            </w:r>
          </w:p>
        </w:tc>
        <w:tc>
          <w:tcPr>
            <w:tcW w:type="dxa" w:w="38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Наблюдение, прогнозирование, цифровые двойники и контроль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Картина состояния, сценарии, сигналы риска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СФЕРА</w:t>
            </w:r>
          </w:p>
        </w:tc>
        <w:tc>
          <w:tcPr>
            <w:tcW w:type="dxa" w:w="38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Единое пространство инициатив и компетенций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Портфель инициатив и проектные консорциумы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ECO‑PPA</w:t>
            </w:r>
          </w:p>
        </w:tc>
        <w:tc>
          <w:tcPr>
            <w:tcW w:type="dxa" w:w="38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Мобилизация ресурсов для предупреждения угроз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Контракт результата, финансирование и ответственность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СПЕЦЗАЩИТА</w:t>
            </w:r>
          </w:p>
        </w:tc>
        <w:tc>
          <w:tcPr>
            <w:tcW w:type="dxa" w:w="38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Кооперационная организация исполнения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Производственная кооперация, пилот и эксплуатация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ESG‑IR 1.0</w:t>
            </w:r>
          </w:p>
        </w:tc>
        <w:tc>
          <w:tcPr>
            <w:tcW w:type="dxa" w:w="38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Отчётность, доказательность и рейтинг воздействия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Верифицированные показатели и рейтинг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ГАСМП «ЭКВИЛИБРИУМ»</w:t>
            </w:r>
          </w:p>
        </w:tc>
        <w:tc>
          <w:tcPr>
            <w:tcW w:type="dxa" w:w="38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Аэрокосмический и наземный мониторинг раннего предупреждения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Глобальные наблюдения и прогнозы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КРИСТАЛЛ 741</w:t>
            </w:r>
          </w:p>
        </w:tc>
        <w:tc>
          <w:tcPr>
            <w:tcW w:type="dxa" w:w="38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Модульная матрица системной сборки</w:t>
            </w:r>
          </w:p>
        </w:tc>
        <w:tc>
          <w:tcPr>
            <w:tcW w:type="dxa" w:w="417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Каталог модулей и связей</w:t>
            </w:r>
          </w:p>
        </w:tc>
      </w:tr>
    </w:tbl>
    <w:p>
      <w:pPr>
        <w:spacing w:after="0"/>
      </w:pPr>
    </w:p>
    <w:p>
      <w:pPr>
        <w:pStyle w:val="Heading2"/>
      </w:pPr>
      <w:r>
        <w:t>9.1. Единый маршрут инициативы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МАРШРУТ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Инициатива → экспертиза → кооперация → ресурсное обеспечение → пилот → подтверждённый результат → масштабирование</w:t>
            </w:r>
          </w:p>
        </w:tc>
      </w:tr>
    </w:tbl>
    <w:p>
      <w:pPr>
        <w:spacing w:after="0"/>
      </w:pPr>
    </w:p>
    <w:p>
      <w:pPr>
        <w:pStyle w:val="Heading2"/>
      </w:pPr>
      <w:r>
        <w:t>9.2. Распределение ответственности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Заказчик определяет общественно значимую задачу и критерии результата.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Научный контур отвечает за гипотезу, метод и воспроизводимость.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Инженерный контур отвечает за реализацию, качество и эксплуатационную пригодность.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Финансовый контур связывает выплаты и капитал с подтверждёнными этапами.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Валидатор независимо подтверждает данные, эффект и ограничения.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Общественный контур обеспечивает прозрачность, обратную связь и легитимность.</w:t>
      </w:r>
    </w:p>
    <w:p>
      <w:r>
        <w:br w:type="page"/>
      </w:r>
    </w:p>
    <w:p>
      <w:pPr>
        <w:pStyle w:val="Heading1"/>
      </w:pPr>
      <w:r>
        <w:t>10. Управление, этика и безопасность</w:t>
      </w:r>
    </w:p>
    <w:p>
      <w:pPr>
        <w:pStyle w:val="Heading2"/>
      </w:pPr>
      <w:r>
        <w:t>10.1. Институциональная модель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/>
        </w:trPr>
        <w:tc>
          <w:tcPr>
            <w:tcW w:type="dxa" w:w="28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Орган</w:t>
            </w:r>
          </w:p>
        </w:tc>
        <w:tc>
          <w:tcPr>
            <w:tcW w:type="dxa" w:w="68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Функция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Международный совет ЕУТ</w:t>
            </w:r>
          </w:p>
        </w:tc>
        <w:tc>
          <w:tcPr>
            <w:tcW w:type="dxa" w:w="68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Принципы, совместимость и разрешение трансграничных вопросов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Научно-методический совет</w:t>
            </w:r>
          </w:p>
        </w:tc>
        <w:tc>
          <w:tcPr>
            <w:tcW w:type="dxa" w:w="68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Методики, уровни доказательности и экспертные требования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Архитектурный комитет</w:t>
            </w:r>
          </w:p>
        </w:tc>
        <w:tc>
          <w:tcPr>
            <w:tcW w:type="dxa" w:w="68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Онтология, данные, интерфейсы и управление версиями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Комитет по этике и правам</w:t>
            </w:r>
          </w:p>
        </w:tc>
        <w:tc>
          <w:tcPr>
            <w:tcW w:type="dxa" w:w="68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Права человека, справедливость, недискриминация и апелляции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Центр кибербезопасности</w:t>
            </w:r>
          </w:p>
        </w:tc>
        <w:tc>
          <w:tcPr>
            <w:tcW w:type="dxa" w:w="68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Моделирование угроз, защита инфраструктуры и реагирование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Реестр ЕУТ</w:t>
            </w:r>
          </w:p>
        </w:tc>
        <w:tc>
          <w:tcPr>
            <w:tcW w:type="dxa" w:w="68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Паспорта, версии, доказательства, статусы и ограничения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Национальные центры</w:t>
            </w:r>
          </w:p>
        </w:tc>
        <w:tc>
          <w:tcPr>
            <w:tcW w:type="dxa" w:w="68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Адаптация к праву, стандартам и приоритетам государств</w:t>
            </w:r>
          </w:p>
        </w:tc>
      </w:tr>
    </w:tbl>
    <w:p>
      <w:pPr>
        <w:spacing w:after="0"/>
      </w:pPr>
    </w:p>
    <w:p>
      <w:pPr>
        <w:pStyle w:val="Heading2"/>
      </w:pPr>
      <w:r>
        <w:t>10.2. Красные линии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недопустимость скрытого социального ранжирования и дискриминации;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запрет автоматического решения, затрагивающего фундаментальные права, без человеческого контроля и апелляции;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минимизация персональных данных и целевое ограничение их использования;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запрет сокрытия существенных рисков, отрицательных испытаний и конфликтов интересов;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обязательное аварийное отключение и безопасный режим для критических систем;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сохранение национального суверенитета и культурного разнообразия.</w:t>
      </w:r>
    </w:p>
    <w:p>
      <w:pPr>
        <w:pStyle w:val="Heading2"/>
      </w:pPr>
      <w:r>
        <w:t>10.3. Модель доступа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Данные разделяются на открытые, служебные, конфиденциальные, персональные и критические. Доступ определяется не только ролью, но и целью, сроком, контекстом и минимально необходимым объёмом. Все значимые действия журналируются и подлежат аудиту.</w:t>
      </w:r>
    </w:p>
    <w:p>
      <w:r>
        <w:br w:type="page"/>
      </w:r>
    </w:p>
    <w:p>
      <w:pPr>
        <w:pStyle w:val="Heading1"/>
      </w:pPr>
      <w:r>
        <w:t>11. Экономическая и финансовая модель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ЕУТ переводит финансирование от оплаты обещаний к поэтапному финансированию доказанного прогресса. Каждый транш связан с уровнем готовности, контрольной точкой, подтверждённым результатом и пределом риска.</w:t>
      </w:r>
    </w:p>
    <w:p>
      <w:pPr>
        <w:pStyle w:val="Heading2"/>
      </w:pPr>
      <w:r>
        <w:t>11.1. Источники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государственные программы и закупки инноваций;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частный капитал, проектное финансирование и стратегические инвестиции;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ECO‑PPA и контракты предупреждённого ущерба;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зелёные, социальные и переходные финансовые инструменты;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кооперативное и общественное финансирование;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международные фонды, банки развития и целевые программы;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лицензирование, сервисные платежи и долевое участие в эффекте.</w:t>
      </w:r>
    </w:p>
    <w:p>
      <w:pPr>
        <w:pStyle w:val="Heading2"/>
      </w:pPr>
      <w:r>
        <w:t>11.2. Модель ценности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/>
        </w:trP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Контур ценности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Примеры результата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Экономический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Снижение совокупной стоимости владения, рост производительности, новые рынки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Экологический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Снижение выбросов, восстановление экосистем, ресурсная эффективность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Социальный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Здоровье, занятость, доступность услуг, снижение неравенства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Безопасность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Снижение вероятности и масштаба ущерба, устойчивость инфраструктуры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Знаниевый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Новые данные, компетенции, патенты, стандарты и образовательные программы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Институциональный</w:t>
            </w:r>
          </w:p>
        </w:tc>
        <w:tc>
          <w:tcPr>
            <w:tcW w:type="dxa" w:w="72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Рост доверия, прозрачности и способности к кооперации</w:t>
            </w:r>
          </w:p>
        </w:tc>
      </w:tr>
    </w:tbl>
    <w:p>
      <w:pPr>
        <w:spacing w:after="0"/>
      </w:pPr>
    </w:p>
    <w:p>
      <w:pPr>
        <w:pStyle w:val="Heading2"/>
      </w:pPr>
      <w:r>
        <w:t>11.3. Принцип распределения эффекта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До начала проекта фиксируются правила распределения интеллектуальных прав, доходов, экономии, предотвращённого ущерба и общественного эффекта. Вознаграждение участников должно учитывать не только капитал, но и данные, знания, инфраструктуру, труд, риск и вклад территории.</w:t>
      </w:r>
    </w:p>
    <w:p>
      <w:r>
        <w:br w:type="page"/>
      </w:r>
    </w:p>
    <w:p>
      <w:pPr>
        <w:pStyle w:val="Heading1"/>
      </w:pPr>
      <w:r>
        <w:t>12. Международное позиционирование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ЕУТ может быть предложена как добровольная международная рамка технологической совместимости и доказательности для проектов устойчивого развития, предупреждения угроз и мирной кооперации. Она дополняет, а не заменяет, действующие международные стандарты и национальное право.</w:t>
      </w:r>
    </w:p>
    <w:p>
      <w:pPr>
        <w:pStyle w:val="Heading2"/>
      </w:pPr>
      <w:r>
        <w:t>12.1. Потенциальные направления сотрудничества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ООН и специализированные учреждения — связь с ЦУР, снижением риска бедствий и технологическим содействием;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международные банки развития — доказательное проектное финансирование;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организации стандартизации — согласование терминологии, данных и протоколов;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научные союзы и университеты — открытые испытания и воспроизводимость;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государства и города — пилотные территории и трансграничные программы;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бизнес и промышленность — совместимые решения, цепочки поставок и масштабирование;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общественные организации и коренные народы — защита прав, локальных знаний и справедливое участие.</w:t>
      </w:r>
    </w:p>
    <w:p>
      <w:pPr>
        <w:pStyle w:val="Heading2"/>
      </w:pPr>
      <w:r>
        <w:t>12.2. Предлагаемый международный продукт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ИНИЦИАТИВА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Создать Международную хартию ЕУТ, открытый реестр проверенных решений и сеть аккредитованных центров валидации, работающих по взаимно признаваемым протоколам.</w:t>
            </w:r>
          </w:p>
        </w:tc>
      </w:tr>
    </w:tbl>
    <w:p>
      <w:pPr>
        <w:spacing w:after="0"/>
      </w:pPr>
    </w:p>
    <w:p>
      <w:pPr>
        <w:pStyle w:val="Heading2"/>
      </w:pPr>
      <w:r>
        <w:t>12.3. Принцип нейтральности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Рамка должна быть технологически нейтральной, не закреплять преимущества отдельного поставщика и допускать разные реализации при соблюдении общих требований к безопасности, доказательности, совместимости и правам человека.</w:t>
      </w:r>
    </w:p>
    <w:p>
      <w:r>
        <w:br w:type="page"/>
      </w:r>
    </w:p>
    <w:p>
      <w:pPr>
        <w:pStyle w:val="Heading1"/>
      </w:pPr>
      <w:r>
        <w:t>13. Дорожная карта 2026–2035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20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Этап</w:t>
            </w:r>
          </w:p>
        </w:tc>
        <w:tc>
          <w:tcPr>
            <w:tcW w:type="dxa" w:w="158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Срок</w:t>
            </w:r>
          </w:p>
        </w:tc>
        <w:tc>
          <w:tcPr>
            <w:tcW w:type="dxa" w:w="61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Ключевой результат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I. Учреждение</w:t>
            </w:r>
          </w:p>
        </w:tc>
        <w:tc>
          <w:tcPr>
            <w:tcW w:type="dxa" w:w="158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2026–2027</w:t>
            </w:r>
          </w:p>
        </w:tc>
        <w:tc>
          <w:tcPr>
            <w:tcW w:type="dxa" w:w="61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Совет ЕУТ, тезаурус, паспорт, уровни готовности, методика пилотов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II. Пилотирование</w:t>
            </w:r>
          </w:p>
        </w:tc>
        <w:tc>
          <w:tcPr>
            <w:tcW w:type="dxa" w:w="158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2027–2028</w:t>
            </w:r>
          </w:p>
        </w:tc>
        <w:tc>
          <w:tcPr>
            <w:tcW w:type="dxa" w:w="61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Три–пять пилотов, реестр доказательств, национальные центры валидации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III. Стандартизация</w:t>
            </w:r>
          </w:p>
        </w:tc>
        <w:tc>
          <w:tcPr>
            <w:tcW w:type="dxa" w:w="158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2028–2030</w:t>
            </w:r>
          </w:p>
        </w:tc>
        <w:tc>
          <w:tcPr>
            <w:tcW w:type="dxa" w:w="61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Пакет стандартов ЕУТ 1.x, аккредитация, взаимное признание результатов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IV. Масштабирование</w:t>
            </w:r>
          </w:p>
        </w:tc>
        <w:tc>
          <w:tcPr>
            <w:tcW w:type="dxa" w:w="158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2030–2032</w:t>
            </w:r>
          </w:p>
        </w:tc>
        <w:tc>
          <w:tcPr>
            <w:tcW w:type="dxa" w:w="61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Отраслевые и межрегиональные программы, финансовые продукты под эффект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V. Международная сеть</w:t>
            </w:r>
          </w:p>
        </w:tc>
        <w:tc>
          <w:tcPr>
            <w:tcW w:type="dxa" w:w="158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2032–2035</w:t>
            </w:r>
          </w:p>
        </w:tc>
        <w:tc>
          <w:tcPr>
            <w:tcW w:type="dxa" w:w="61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Хартия ЕУТ, трансграничные проекты, открытая федерация реестров</w:t>
            </w:r>
          </w:p>
        </w:tc>
      </w:tr>
    </w:tbl>
    <w:p>
      <w:pPr>
        <w:spacing w:after="0"/>
      </w:pPr>
    </w:p>
    <w:p>
      <w:pPr>
        <w:pStyle w:val="Heading2"/>
      </w:pPr>
      <w:r>
        <w:t>13.1. Первые 180 дней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Утвердить мандат, границы и принципы программы.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Сформировать междисциплинарный Совет ЕУТ и рабочие группы.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Принять версию 0.9 паспорта технологии и код готовности.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Определить три пилота и базовые линии показателей.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Развернуть прототип реестра технологий и доказательств.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Согласовать требования к независимой валидации и конфликтам интересов.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Подготовить международный консультационный пакет и проект Хартии.</w:t>
      </w:r>
    </w:p>
    <w:p>
      <w:pPr>
        <w:pStyle w:val="Heading2"/>
      </w:pPr>
      <w:r>
        <w:t>13.2. Управленческие ворота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GATE A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Есть измеримая проблема, владелец результата и базовая линия.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GATE B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Есть воспроизводимый прототип, оценка рисков и пилотный протокол.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GATE C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Эффект подтверждён независимо; экономика и ответственность определены.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GATE D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Решение совместимо, стандартизировано и готово к масштабированию.</w:t>
            </w:r>
          </w:p>
        </w:tc>
      </w:tr>
    </w:tbl>
    <w:p>
      <w:pPr>
        <w:spacing w:after="0"/>
      </w:pPr>
    </w:p>
    <w:p>
      <w:pPr>
        <w:pStyle w:val="Heading1"/>
      </w:pPr>
      <w:r>
        <w:t>14. Пилотная программа</w:t>
      </w:r>
    </w:p>
    <w:p>
      <w:pPr>
        <w:pStyle w:val="Heading2"/>
      </w:pPr>
      <w:r>
        <w:t>14.1. Пилот 1 — Биоценозная территория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Комплекс наземного, биологического, акустического и аэрокосмического мониторинга территории с цифровым двойником, ранним предупреждением и программой восстановления. Пилот проверяет связку ГАСМП, биоценозных точек, ЭКВИЛИБРИУМ и ECO‑PPA.</w:t>
      </w:r>
    </w:p>
    <w:p>
      <w:pPr>
        <w:pStyle w:val="Heading2"/>
      </w:pPr>
      <w:r>
        <w:t>14.2. Пилот 2 — Чистое материаловедение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Производственная цепочка высокочистых и низкоуглеродных материалов: происхождение сырья, цифровая технологическая карта, контроль качества, оценка жизненного цикла, промышленная безопасность и доказательная экономика.</w:t>
      </w:r>
    </w:p>
    <w:p>
      <w:pPr>
        <w:pStyle w:val="Heading2"/>
      </w:pPr>
      <w:r>
        <w:t>14.3. Пилот 3 — Устойчивая территория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Интеграция энергетики, воды, отходов, логистики, социальной инфраструктуры и местной кооперации на уровне муниципального или межмуниципального кластера.</w:t>
      </w:r>
    </w:p>
    <w:p>
      <w:pPr>
        <w:pStyle w:val="Heading2"/>
      </w:pPr>
      <w:r>
        <w:t>14.4. Общий протокол пилота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/>
        </w:trPr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Блок</w:t>
            </w:r>
          </w:p>
        </w:tc>
        <w:tc>
          <w:tcPr>
            <w:tcW w:type="dxa" w:w="75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Обязательный результат</w:t>
            </w:r>
          </w:p>
        </w:tc>
      </w:tr>
      <w:tr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Базовая линия</w:t>
            </w:r>
          </w:p>
        </w:tc>
        <w:tc>
          <w:tcPr>
            <w:tcW w:type="dxa" w:w="75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Зафиксированное исходное состояние и качество данных</w:t>
            </w:r>
          </w:p>
        </w:tc>
      </w:tr>
      <w:tr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Гипотеза</w:t>
            </w:r>
          </w:p>
        </w:tc>
        <w:tc>
          <w:tcPr>
            <w:tcW w:type="dxa" w:w="75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Измеримый эффект и условия опровержения</w:t>
            </w:r>
          </w:p>
        </w:tc>
      </w:tr>
      <w:tr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Дизайн</w:t>
            </w:r>
          </w:p>
        </w:tc>
        <w:tc>
          <w:tcPr>
            <w:tcW w:type="dxa" w:w="75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Архитектура решения, альтернативы и план управления рисками</w:t>
            </w:r>
          </w:p>
        </w:tc>
      </w:tr>
      <w:tr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Исполнение</w:t>
            </w:r>
          </w:p>
        </w:tc>
        <w:tc>
          <w:tcPr>
            <w:tcW w:type="dxa" w:w="75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Протокол работ, роли, версии и журнал решений</w:t>
            </w:r>
          </w:p>
        </w:tc>
      </w:tr>
      <w:tr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Оценка</w:t>
            </w:r>
          </w:p>
        </w:tc>
        <w:tc>
          <w:tcPr>
            <w:tcW w:type="dxa" w:w="75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Сравнение с базовой линией и контрольной альтернативой</w:t>
            </w:r>
          </w:p>
        </w:tc>
      </w:tr>
      <w:tr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Валидация</w:t>
            </w:r>
          </w:p>
        </w:tc>
        <w:tc>
          <w:tcPr>
            <w:tcW w:type="dxa" w:w="75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Независимое заключение и раскрытие ограничений</w:t>
            </w:r>
          </w:p>
        </w:tc>
      </w:tr>
      <w:tr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Масштабирование</w:t>
            </w:r>
          </w:p>
        </w:tc>
        <w:tc>
          <w:tcPr>
            <w:tcW w:type="dxa" w:w="75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Экономика, локализация, стандарты и план тиражирования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15. Система показателей</w:t>
      </w:r>
    </w:p>
    <w:p>
      <w:pPr>
        <w:pStyle w:val="Heading2"/>
      </w:pPr>
      <w:r>
        <w:t>15.1. Интегральная модель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Интегральный индекс ЕУТ не должен скрывать слабые места средним значением. Поэтому итоговая оценка сочетает взвешенный балл и обязательные пороги безопасности, прав человека и качества доказательств. Нарушение критического порога блокирует масштабирование независимо от совокупного балла.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/>
        </w:trP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Группа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Примеры показателей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Результативность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Достижение цели, устойчивость эффекта, охват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Доказательность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Качество данных, воспроизводимость, независимость проверки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Безопасность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Частота инцидентов, остаточный риск, время восстановления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Экономика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Стоимость жизненного цикла, срок окупаемости, чувствительность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Экология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Ресурсы, выбросы, биоразнообразие, цикличность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Социальный эффект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Доступность, здоровье, занятость, справедливость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Совместимость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Открытые интерфейсы, переносимость, доля повторно используемых модулей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Суверенность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Критические зависимости, локализация, заменяемость</w:t>
            </w:r>
          </w:p>
        </w:tc>
      </w:tr>
      <w:tr>
        <w:tc>
          <w:tcPr>
            <w:tcW w:type="dxa" w:w="2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Обучаемость</w:t>
            </w:r>
          </w:p>
        </w:tc>
        <w:tc>
          <w:tcPr>
            <w:tcW w:type="dxa" w:w="74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Скорость обновления модели и устранения выявленных дефектов</w:t>
            </w:r>
          </w:p>
        </w:tc>
      </w:tr>
    </w:tbl>
    <w:p>
      <w:pPr>
        <w:spacing w:after="0"/>
      </w:pPr>
    </w:p>
    <w:p>
      <w:pPr>
        <w:pStyle w:val="Heading2"/>
      </w:pPr>
      <w:r>
        <w:t>15.2. Минимальный набор KPI программы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доля технологий с полным цифровым паспортом;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доля пилотов с независимой валидацией;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время от инициативы до эксплуатационного пилота;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доля повторно используемых модулей и данных;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объём предотвращённого ущерба и подтверждённого эффекта;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число взаимно признанных центров и трансграничных проектов;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число критических инцидентов и среднее время восстановления;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доля решений, прошедших проверку прав, этики и безопасности.</w:t>
      </w:r>
    </w:p>
    <w:p>
      <w:r>
        <w:br w:type="page"/>
      </w:r>
    </w:p>
    <w:p>
      <w:pPr>
        <w:pStyle w:val="Heading1"/>
      </w:pPr>
      <w:r>
        <w:t>16. Риски и меры управления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Риск</w:t>
            </w:r>
          </w:p>
        </w:tc>
        <w:tc>
          <w:tcPr>
            <w:tcW w:type="dxa" w:w="31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Проявление</w:t>
            </w:r>
          </w:p>
        </w:tc>
        <w:tc>
          <w:tcPr>
            <w:tcW w:type="dxa" w:w="4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Мера управления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Избыточная централизация</w:t>
            </w:r>
          </w:p>
        </w:tc>
        <w:tc>
          <w:tcPr>
            <w:tcW w:type="dxa" w:w="31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Потеря инициативы и адаптивности</w:t>
            </w:r>
          </w:p>
        </w:tc>
        <w:tc>
          <w:tcPr>
            <w:tcW w:type="dxa" w:w="4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Федеративная архитектура и субсидиарность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Бюрократизация</w:t>
            </w:r>
          </w:p>
        </w:tc>
        <w:tc>
          <w:tcPr>
            <w:tcW w:type="dxa" w:w="31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Паспорт становится формальностью</w:t>
            </w:r>
          </w:p>
        </w:tc>
        <w:tc>
          <w:tcPr>
            <w:tcW w:type="dxa" w:w="4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Риск-ориентированная глубина требований и автоматизация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Технологический монополизм</w:t>
            </w:r>
          </w:p>
        </w:tc>
        <w:tc>
          <w:tcPr>
            <w:tcW w:type="dxa" w:w="31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Зависимость от одного поставщика</w:t>
            </w:r>
          </w:p>
        </w:tc>
        <w:tc>
          <w:tcPr>
            <w:tcW w:type="dxa" w:w="4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Открытые интерфейсы, переносимость и антимонопольные правила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Манипуляция показателями</w:t>
            </w:r>
          </w:p>
        </w:tc>
        <w:tc>
          <w:tcPr>
            <w:tcW w:type="dxa" w:w="31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Оптимизация отчёта вместо результата</w:t>
            </w:r>
          </w:p>
        </w:tc>
        <w:tc>
          <w:tcPr>
            <w:tcW w:type="dxa" w:w="4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Независимые данные, аудит и защита информаторов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Утечка данных</w:t>
            </w:r>
          </w:p>
        </w:tc>
        <w:tc>
          <w:tcPr>
            <w:tcW w:type="dxa" w:w="31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Ущерб людям и инфраструктуре</w:t>
            </w:r>
          </w:p>
        </w:tc>
        <w:tc>
          <w:tcPr>
            <w:tcW w:type="dxa" w:w="4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Минимизация, сегментация, шифрование и контроль целей доступа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Ошибки ИИ</w:t>
            </w:r>
          </w:p>
        </w:tc>
        <w:tc>
          <w:tcPr>
            <w:tcW w:type="dxa" w:w="31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Ложные прогнозы и решения</w:t>
            </w:r>
          </w:p>
        </w:tc>
        <w:tc>
          <w:tcPr>
            <w:tcW w:type="dxa" w:w="4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Объяснимость, человеческий контроль, тесты и ограничение полномочий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Конфликт юрисдикций</w:t>
            </w:r>
          </w:p>
        </w:tc>
        <w:tc>
          <w:tcPr>
            <w:tcW w:type="dxa" w:w="31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Неприменимость единого правила</w:t>
            </w:r>
          </w:p>
        </w:tc>
        <w:tc>
          <w:tcPr>
            <w:tcW w:type="dxa" w:w="4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Модульное правовое соответствие и взаимное признание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Недоверие общества</w:t>
            </w:r>
          </w:p>
        </w:tc>
        <w:tc>
          <w:tcPr>
            <w:tcW w:type="dxa" w:w="31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Сопротивление внедрению</w:t>
            </w:r>
          </w:p>
        </w:tc>
        <w:tc>
          <w:tcPr>
            <w:tcW w:type="dxa" w:w="4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Участие, прозрачность, апелляция и измеримый общественный эффект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Преждевременное масштабирование</w:t>
            </w:r>
          </w:p>
        </w:tc>
        <w:tc>
          <w:tcPr>
            <w:tcW w:type="dxa" w:w="31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Рост скрытого ущерба</w:t>
            </w:r>
          </w:p>
        </w:tc>
        <w:tc>
          <w:tcPr>
            <w:tcW w:type="dxa" w:w="44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Обязательные ворота зрелости и остановка при критическом отклонении</w:t>
            </w:r>
          </w:p>
        </w:tc>
      </w:tr>
    </w:tbl>
    <w:p>
      <w:pPr>
        <w:spacing w:after="0"/>
      </w:pPr>
    </w:p>
    <w:p>
      <w:pPr>
        <w:pStyle w:val="Heading2"/>
      </w:pPr>
      <w:r>
        <w:t>16.1. Принцип обратимости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На ранних стадиях предпочтительны решения, которые можно безопасно остановить, заменить или откатить. Необратимые изменения требуют усиленной доказательной базы, расширенного общественного участия и независимой экспертизы.</w:t>
      </w:r>
    </w:p>
    <w:p>
      <w:r>
        <w:br w:type="page"/>
      </w:r>
    </w:p>
    <w:p>
      <w:pPr>
        <w:pStyle w:val="Heading1"/>
      </w:pPr>
      <w:r>
        <w:t>17. Проект декларации ЕУТ</w:t>
      </w:r>
    </w:p>
    <w:p>
      <w:pPr>
        <w:pStyle w:val="Lead"/>
        <w:keepLines w:val="0"/>
        <w:widowControl/>
      </w:pPr>
      <w:r>
        <w:rPr>
          <w:rFonts w:ascii="Aptos" w:hAnsi="Aptos"/>
          <w:b w:val="0"/>
          <w:i w:val="0"/>
          <w:color w:val="17324D"/>
          <w:sz w:val="25"/>
        </w:rPr>
        <w:t>Мы исходим из того, что технология должна служить сохранению жизни, развитию человека, устойчивости общества и гармоничному взаимодействию с природой.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Мы признаём целостность природных, человеческих, технических и культурных систем.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Мы утверждаем первенство человеческого достоинства, безопасности и ответственности.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Мы принимаем измеримость и доказательность как основу доверия.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Мы обеспечиваем прослеживаемость данных, решений, версий и последствий.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Мы создаём совместимые технологии, открытые для кооперации и защищённые от злоупотреблений.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Мы соединяем финансирование с подтверждённым общественным, экологическим и экономическим результатом.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Мы сохраняем разнообразие культур и суверенное право государств определять пути развития.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Мы развиваем международное сотрудничество для предупреждения общих угроз.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Мы признаём право будущих поколений на безопасную планету и доступ к наследию цивилизаций.</w:t>
      </w:r>
    </w:p>
    <w:p>
      <w:pPr>
        <w:pStyle w:val="ListNumber"/>
        <w:spacing w:after="80"/>
      </w:pPr>
      <w:r>
        <w:rPr>
          <w:rFonts w:ascii="Aptos" w:hAnsi="Aptos"/>
          <w:b w:val="0"/>
          <w:i w:val="0"/>
          <w:color w:val="17212B"/>
          <w:sz w:val="20"/>
        </w:rPr>
        <w:t>Мы обязуемся постоянно совершенствовать нормы ЕУТ на основании новых знаний и опыта.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МИССИЯ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Сформировать общий технологический язык цивилизации, позволяющий действовать совместно, не уничтожая различия, и масштабировать решения, не масштабируя ошибки.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18. Заключение</w:t>
      </w:r>
    </w:p>
    <w:p>
      <w:pPr>
        <w:pStyle w:val="Lead"/>
        <w:keepLines w:val="0"/>
        <w:widowControl/>
      </w:pPr>
      <w:r>
        <w:rPr>
          <w:rFonts w:ascii="Aptos" w:hAnsi="Aptos"/>
          <w:b w:val="0"/>
          <w:i w:val="0"/>
          <w:color w:val="17324D"/>
          <w:sz w:val="25"/>
        </w:rPr>
        <w:t>Единые унифицированные технологии создают недостающий мост между универсальными принципами, научной доказательностью, инженерным исполнением, общественной ответственностью и международным масштабированием. Их ценность состоит не в претензии на единственную истину, а в способности превращать сложность в согласованную архитектуру действий.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Первым практическим шагом должно стать не принятие всеобъемлющего стандарта, а запуск ограниченной программы ЕУТ 1.0: общий паспорт, код готовности, три пилота, независимая валидация и открытый реестр результатов. Такой путь позволит проверить архитектуру на практике, сохранить обратимость решений и сформировать доверие.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20"/>
      </w:tblGrid>
      <w:tr>
        <w:tc>
          <w:tcPr>
            <w:tcW w:type="dxa" w:w="9878"/>
            <w:shd w:fill="EAF2F7"/>
            <w:tcMar>
              <w:top w:w="160" w:type="dxa"/>
              <w:start w:w="180" w:type="dxa"/>
              <w:bottom w:w="15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ptos" w:hAnsi="Aptos"/>
                <w:b/>
                <w:i w:val="0"/>
                <w:color w:val="2BA6A6"/>
                <w:sz w:val="18"/>
              </w:rPr>
              <w:t xml:space="preserve">ИТОГОВАЯ ФОРМУЛА  </w:t>
            </w:r>
            <w:r>
              <w:rPr>
                <w:rFonts w:ascii="Aptos" w:hAnsi="Aptos"/>
                <w:b/>
                <w:i w:val="0"/>
                <w:color w:val="17324D"/>
                <w:sz w:val="21"/>
              </w:rPr>
              <w:t>ЕУТ = целостность × доказательность × совместимость × ответственность × способность к масштабированию</w:t>
            </w:r>
          </w:p>
        </w:tc>
      </w:tr>
    </w:tbl>
    <w:p>
      <w:pPr>
        <w:spacing w:after="0"/>
      </w:pPr>
    </w:p>
    <w:p>
      <w:pPr>
        <w:pStyle w:val="Heading2"/>
      </w:pPr>
      <w:r>
        <w:t>Приложение А. Минимальный комплект документов проекта ЕУТ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Паспорт проблемы и базовой линии.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Паспорт технологии и архитектурная схема.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План управления данными и кибербезопасностью.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Протокол испытаний и критерии остановки.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Реестр рисков, этическая оценка и карта заинтересованных сторон.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Финансовая модель жизненного цикла.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Отчёт независимой валидации.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План эксплуатации, мониторинга и масштабирования.</w:t>
      </w:r>
    </w:p>
    <w:p>
      <w:pPr>
        <w:pStyle w:val="Heading2"/>
      </w:pPr>
      <w:r>
        <w:t>Приложение Б. Термины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/>
        </w:trP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Термин</w:t>
            </w:r>
          </w:p>
        </w:tc>
        <w:tc>
          <w:tcPr>
            <w:tcW w:type="dxa" w:w="74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24D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Рабочее определение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Унификация</w:t>
            </w:r>
          </w:p>
        </w:tc>
        <w:tc>
          <w:tcPr>
            <w:tcW w:type="dxa" w:w="74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Согласование форматов и правил при сохранении допустимого разнообразия реализаций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Совместимость</w:t>
            </w:r>
          </w:p>
        </w:tc>
        <w:tc>
          <w:tcPr>
            <w:tcW w:type="dxa" w:w="74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Способность систем обмениваться данными и совместно выполнять функции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Доказательство</w:t>
            </w:r>
          </w:p>
        </w:tc>
        <w:tc>
          <w:tcPr>
            <w:tcW w:type="dxa" w:w="74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Проверяемая совокупность данных, метода, результата и ограничений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Валидация</w:t>
            </w:r>
          </w:p>
        </w:tc>
        <w:tc>
          <w:tcPr>
            <w:tcW w:type="dxa" w:w="74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Подтверждение того, что решение пригодно для заявленной цели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Верификация</w:t>
            </w:r>
          </w:p>
        </w:tc>
        <w:tc>
          <w:tcPr>
            <w:tcW w:type="dxa" w:w="74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Подтверждение соответствия заданным требованиям и спецификации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Цифровой двойник</w:t>
            </w:r>
          </w:p>
        </w:tc>
        <w:tc>
          <w:tcPr>
            <w:tcW w:type="dxa" w:w="74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Динамическая цифровая модель объекта или системы, связанная с наблюдаемыми данными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Предотвращённый ущерб</w:t>
            </w:r>
          </w:p>
        </w:tc>
        <w:tc>
          <w:tcPr>
            <w:tcW w:type="dxa" w:w="748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Оценённая разница между базовым сценарием риска и подтверждённым результатом вмешательства</w:t>
            </w:r>
          </w:p>
        </w:tc>
      </w:tr>
    </w:tbl>
    <w:p>
      <w:pPr>
        <w:spacing w:after="0"/>
      </w:pPr>
    </w:p>
    <w:p>
      <w:pPr>
        <w:pStyle w:val="Heading2"/>
      </w:pPr>
      <w:r>
        <w:t>Приложение В. Контрольный лист допуска к пилоту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Определены владелец результата, территория и заинтересованные стороны.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Зафиксированы базовая линия, источники данных и критерии их качества.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Сформулированы гипотеза, измеримый эффект и критерии опровержения.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Проведены предварительные оценки безопасности, прав и этических последствий.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Назначен независимый валидатор и раскрыты конфликты интересов.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Утверждены бюджет, календарь, контрольные точки и условия остановки.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Определены правила доступа к данным, интеллектуальной собственности и публикации результатов.</w:t>
      </w:r>
    </w:p>
    <w:p>
      <w:pPr>
        <w:pStyle w:val="ListBullet"/>
        <w:spacing w:after="60"/>
        <w:ind w:left="360" w:hanging="259"/>
      </w:pPr>
      <w:r>
        <w:rPr>
          <w:rFonts w:ascii="Aptos" w:hAnsi="Aptos"/>
          <w:b w:val="0"/>
          <w:i w:val="0"/>
          <w:color w:val="17212B"/>
          <w:sz w:val="20"/>
        </w:rPr>
        <w:t>Подготовлены планы эксплуатации, аварийного реагирования и обратимости.</w:t>
      </w:r>
    </w:p>
    <w:p>
      <w:pPr>
        <w:pStyle w:val="Heading2"/>
      </w:pPr>
      <w:r>
        <w:t>Приложение Г. Статус документа</w:t>
      </w:r>
    </w:p>
    <w:p>
      <w:pPr>
        <w:keepLines w:val="0"/>
        <w:widowControl/>
      </w:pPr>
      <w:r>
        <w:rPr>
          <w:rFonts w:ascii="Aptos" w:hAnsi="Aptos"/>
          <w:b w:val="0"/>
          <w:i w:val="0"/>
          <w:color w:val="17212B"/>
          <w:sz w:val="21"/>
        </w:rPr>
        <w:t>Версия 1.0 является основой для экспертного обсуждения и проектирования пилотной программы. Следующая редакция должна учитывать замечания научных организаций, органов власти, промышленности, финансовых институтов, общественных объединений и международных партнёров.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81" w:bottom="1037" w:left="118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5D6A74"/>
        <w:sz w:val="16"/>
      </w:rPr>
      <w:t xml:space="preserve">Единые унифицированные технологии  •  Стратегическая концепция  •  </w:t>
    </w:r>
    <w: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i w:val="0"/>
        <w:color w:val="5D6A74"/>
        <w:sz w:val="17"/>
      </w:rPr>
      <w:t>ЭКВИЛИБРИУМ  |  ЕУТ 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ptos" w:hAnsi="Aptos"/>
      <w:color w:val="1721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24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E6FA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BA6A6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ptos" w:hAnsi="Aptos"/>
      <w:b/>
      <w:bCs/>
      <w:color w:val="5D6A74"/>
      <w:sz w:val="17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200" w:line="288" w:lineRule="auto"/>
    </w:pPr>
    <w:rPr>
      <w:rFonts w:ascii="Aptos" w:hAnsi="Aptos"/>
      <w:color w:val="17324D"/>
      <w:sz w:val="25"/>
    </w:rPr>
  </w:style>
  <w:style w:type="paragraph" w:customStyle="1" w:styleId="Kicker">
    <w:name w:val="Kicker"/>
    <w:rPr>
      <w:rFonts w:ascii="Aptos" w:hAnsi="Aptos"/>
      <w:b/>
      <w:color w:val="2BA6A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Единые унифицированные технологии (ЕУТ)</dc:title>
  <dc:subject>Стратегическая концепция ЕУТ 1.0</dc:subject>
  <dc:creator>Соколов Сергей Леонидович / SOKOL EQUILIBRIS</dc:creator>
  <cp:keywords>ЕУТ, ЭКВИЛИБРИУМ, СФЕРА, ECO-PPA, унификация, технологии</cp:keywords>
  <dc:description>Концептуальный документ. Требует профильной научной, технической, правовой и финансовой верификации.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