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60"/>
        </w:rPr>
        <w:t>ЕДИНЫЙ СТРОИТЕЛЬНЫЙ ПОРТАЛ</w:t>
      </w:r>
    </w:p>
    <w:p>
      <w:pPr>
        <w:jc w:val="center"/>
      </w:pPr>
      <w:r>
        <w:rPr>
          <w:b/>
          <w:color w:val="2F75B5"/>
          <w:sz w:val="40"/>
        </w:rPr>
        <w:t>Архитектура единой цифровой платформы управления строительством и ЖКХ</w:t>
      </w:r>
    </w:p>
    <w:p>
      <w:pPr>
        <w:pStyle w:val="Lead"/>
        <w:jc w:val="center"/>
      </w:pPr>
      <w:r>
        <w:t>Концепция и верхнеуровневое техническое задание в развитие распоряжения Правительства РФ от 2 марта 2026 г. № 398-р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EEF3F7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20"/>
              </w:rPr>
              <w:t>Горизонт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20"/>
              </w:rPr>
              <w:t>2030</w:t>
            </w:r>
          </w:p>
        </w:tc>
      </w:tr>
      <w:tr>
        <w:tc>
          <w:tcPr>
            <w:tcW w:type="dxa" w:w="5040"/>
            <w:shd w:fill="EEF3F7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20"/>
              </w:rPr>
              <w:t>Предмет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20"/>
              </w:rPr>
              <w:t>Строительство + ЖКХ + жизненный цикл ОКС</w:t>
            </w:r>
          </w:p>
        </w:tc>
      </w:tr>
      <w:tr>
        <w:tc>
          <w:tcPr>
            <w:tcW w:type="dxa" w:w="5040"/>
            <w:shd w:fill="EEF3F7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20"/>
              </w:rPr>
              <w:t>Архитектурный принцип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20"/>
              </w:rPr>
              <w:t>Реестровое ядро + процессный слой + ТИМ + интеграции + аналитика/ИИ</w:t>
            </w:r>
          </w:p>
        </w:tc>
      </w:tr>
      <w:tr>
        <w:tc>
          <w:tcPr>
            <w:tcW w:type="dxa" w:w="5040"/>
            <w:shd w:fill="EEF3F7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20"/>
              </w:rPr>
              <w:t>Версия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20"/>
              </w:rPr>
              <w:t>Концепт 1.0 / август 2026</w:t>
            </w:r>
          </w:p>
        </w:tc>
      </w:tr>
    </w:tbl>
    <w:p>
      <w:r>
        <w:br/>
      </w:r>
    </w:p>
    <w:p>
      <w:pPr>
        <w:pStyle w:val="Small"/>
        <w:jc w:val="center"/>
      </w:pPr>
      <w:r>
        <w:t>Нормативная основа: распоряжение Правительства Российской Федерации от 02.03.2026 № 398-р. Официальная публикация: government.ru.</w:t>
      </w:r>
    </w:p>
    <w:p>
      <w:r>
        <w:br w:type="page"/>
      </w:r>
    </w:p>
    <w:p>
      <w:pPr>
        <w:pStyle w:val="Heading1"/>
      </w:pPr>
      <w:r>
        <w:t>1. Резюме решения</w:t>
      </w:r>
    </w:p>
    <w:p>
      <w:pPr>
        <w:pStyle w:val="Lead"/>
      </w:pPr>
      <w:r>
        <w:t>Предлагается создать единый цифровой контур управления объектом капитального строительства и коммунальной инфраструктурой — от инициативы, земельно-градостроительной подготовки и проектирования до ввода, эксплуатации, ремонта и модернизации.</w:t>
      </w:r>
    </w:p>
    <w:p>
      <w:pPr>
        <w:pStyle w:val="ListBullet"/>
        <w:spacing w:after="60"/>
      </w:pPr>
      <w:r>
        <w:t>Платформа не заменяет действующие государственные информационные системы, а связывает их через единые сущности данных, API и событийный обмен.</w:t>
      </w:r>
    </w:p>
    <w:p>
      <w:pPr>
        <w:pStyle w:val="ListBullet"/>
        <w:spacing w:after="60"/>
      </w:pPr>
      <w:r>
        <w:t>Центр архитектуры — цифровой паспорт объекта и единая история решений, документов, моделей, сроков, стоимости и ответственности.</w:t>
      </w:r>
    </w:p>
    <w:p>
      <w:pPr>
        <w:pStyle w:val="ListBullet"/>
        <w:spacing w:after="60"/>
      </w:pPr>
      <w:r>
        <w:t>ТИМ/информационная модель рассматривается как рабочая модель жизненного цикла, а не как отдельный файл проектировщика.</w:t>
      </w:r>
    </w:p>
    <w:p>
      <w:pPr>
        <w:pStyle w:val="ListBullet"/>
        <w:spacing w:after="60"/>
      </w:pPr>
      <w:r>
        <w:t>Для органов власти формируется управленческий контур: мониторинг сроков, рисков, стоимости, цифровой зрелости и качества данных.</w:t>
      </w:r>
    </w:p>
    <w:p>
      <w:pPr>
        <w:pStyle w:val="ListBullet"/>
        <w:spacing w:after="60"/>
      </w:pPr>
      <w:r>
        <w:t>Для рынка — единый кабинет участника, понятные маршруты процедур, машиночитаемые документы и сокращение ручных повторных вводов данных.</w:t>
      </w:r>
    </w:p>
    <w:p>
      <w:pPr>
        <w:pStyle w:val="Heading1"/>
      </w:pPr>
      <w:r>
        <w:t>2. Нормативная привязка к распоряжению № 398-р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Единая цифровая среда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Связать федеральный, региональный и объектовый уровни управления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Сквозной цифровой контур отрасли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Электронные процедуры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Перевести взаимодействие участников инвестиционно-строительного цикла в цифровой вид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Снижение сроков и транзакционных издержек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ТИМ и цифровые двойники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Использовать информационные модели на всем жизненном цикле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Прослеживаемый цифровой двойник объекта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Стройкомплекс.РФ / ГИСОГД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Обеспечить обмен данными и интеграцию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Единая картина пространственных и градостроительных данных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ЖКХ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Электронные паспорта коммунальной инфраструктуры и цифровой учет жилищного фонда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Переход от документов к данным и событиям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ИИ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Автоматизировать контроль, анализ и принятие типовых решений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Прогноз рисков и повышение производительности</w:t>
            </w:r>
          </w:p>
        </w:tc>
      </w:tr>
    </w:tbl>
    <w:p>
      <w:pPr>
        <w:pStyle w:val="Heading1"/>
      </w:pPr>
      <w:r>
        <w:t>3. Целевая архитектура</w:t>
      </w:r>
    </w:p>
    <w:p>
      <w:r>
        <w:rPr>
          <w:b/>
        </w:rPr>
        <w:t>Пять уровней платформы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1. Реестровое ядро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Объекты, участники, документы, модели, сети, контракты, события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Единая версия правды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2. Процессный слой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Маршруты, статусы, согласования, контроль сроков и ответственности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Управляемый инвестиционно-строительный цикл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3. ТИМ / цифровой двойник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Версии моделей, проверка, замечания, исполнительная и эксплуатационная модель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Сквозная модель жизненного цикла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4. Сервисный слой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Кабинеты, суперсервисы, уведомления, электронные формы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Удобное взаимодействие участников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5. Аналитика и ИИ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Риски, стоимость, сроки, качество, зрелость, прогноз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Управленческие решения на данных</w:t>
            </w:r>
          </w:p>
        </w:tc>
      </w:tr>
    </w:tbl>
    <w:p>
      <w:pPr>
        <w:pStyle w:val="Heading1"/>
      </w:pPr>
      <w:r>
        <w:t>4. Модель данных: главные сущности</w:t>
      </w:r>
    </w:p>
    <w:p>
      <w:pPr>
        <w:spacing w:after="80"/>
      </w:pPr>
      <w:r>
        <w:rPr>
          <w:b/>
          <w:color w:val="17365D"/>
        </w:rPr>
        <w:t xml:space="preserve">Объект капитального строительства: </w:t>
      </w:r>
      <w:r>
        <w:t>Единый идентификатор, адрес/координаты, тип, стадия, параметры, статус.</w:t>
      </w:r>
    </w:p>
    <w:p>
      <w:pPr>
        <w:spacing w:after="80"/>
      </w:pPr>
      <w:r>
        <w:rPr>
          <w:b/>
          <w:color w:val="17365D"/>
        </w:rPr>
        <w:t xml:space="preserve">Территория / земельный участок: </w:t>
      </w:r>
      <w:r>
        <w:t>Границы, права, ограничения, градостроительные условия, инфраструктурная обеспеченность.</w:t>
      </w:r>
    </w:p>
    <w:p>
      <w:pPr>
        <w:spacing w:after="80"/>
      </w:pPr>
      <w:r>
        <w:rPr>
          <w:b/>
          <w:color w:val="17365D"/>
        </w:rPr>
        <w:t xml:space="preserve">Проект: </w:t>
      </w:r>
      <w:r>
        <w:t>Цели, параметры, этапы, финансирование, график, бюджет, ответственные.</w:t>
      </w:r>
    </w:p>
    <w:p>
      <w:pPr>
        <w:spacing w:after="80"/>
      </w:pPr>
      <w:r>
        <w:rPr>
          <w:b/>
          <w:color w:val="17365D"/>
        </w:rPr>
        <w:t xml:space="preserve">Информационная модель: </w:t>
      </w:r>
      <w:r>
        <w:t>Версия ТИМ, состав, формат, проверки, замечания, связь с документацией и фактом.</w:t>
      </w:r>
    </w:p>
    <w:p>
      <w:pPr>
        <w:spacing w:after="80"/>
      </w:pPr>
      <w:r>
        <w:rPr>
          <w:b/>
          <w:color w:val="17365D"/>
        </w:rPr>
        <w:t xml:space="preserve">Документ: </w:t>
      </w:r>
      <w:r>
        <w:t>Вид, версия, автор, статус, машиночитаемая структура, подпись, связь с процедурой.</w:t>
      </w:r>
    </w:p>
    <w:p>
      <w:pPr>
        <w:spacing w:after="80"/>
      </w:pPr>
      <w:r>
        <w:rPr>
          <w:b/>
          <w:color w:val="17365D"/>
        </w:rPr>
        <w:t xml:space="preserve">Процедура / согласование: </w:t>
      </w:r>
      <w:r>
        <w:t>Основание, участники, срок, решение, замечания, результат.</w:t>
      </w:r>
    </w:p>
    <w:p>
      <w:pPr>
        <w:spacing w:after="80"/>
      </w:pPr>
      <w:r>
        <w:rPr>
          <w:b/>
          <w:color w:val="17365D"/>
        </w:rPr>
        <w:t xml:space="preserve">Контракт / обязательство: </w:t>
      </w:r>
      <w:r>
        <w:t>Стороны, предмет, цена, сроки, этапы, исполнение, обеспечение.</w:t>
      </w:r>
    </w:p>
    <w:p>
      <w:pPr>
        <w:spacing w:after="80"/>
      </w:pPr>
      <w:r>
        <w:rPr>
          <w:b/>
          <w:color w:val="17365D"/>
        </w:rPr>
        <w:t xml:space="preserve">Работа / этап: </w:t>
      </w:r>
      <w:r>
        <w:t>План, факт, ресурсы, объем, исполнитель, контроль качества.</w:t>
      </w:r>
    </w:p>
    <w:p>
      <w:pPr>
        <w:spacing w:after="80"/>
      </w:pPr>
      <w:r>
        <w:rPr>
          <w:b/>
          <w:color w:val="17365D"/>
        </w:rPr>
        <w:t xml:space="preserve">Инженерная сеть / объект ЖКХ: </w:t>
      </w:r>
      <w:r>
        <w:t>Паспорт, характеристики, состояние, аварии, ремонты, инвестиционные мероприятия.</w:t>
      </w:r>
    </w:p>
    <w:p>
      <w:pPr>
        <w:spacing w:after="80"/>
      </w:pPr>
      <w:r>
        <w:rPr>
          <w:b/>
          <w:color w:val="17365D"/>
        </w:rPr>
        <w:t xml:space="preserve">Событие: </w:t>
      </w:r>
      <w:r>
        <w:t>Изменение статуса, инцидент, проверка, загрузка данных, решение, отклонение.</w:t>
      </w:r>
    </w:p>
    <w:p>
      <w:pPr>
        <w:pStyle w:val="Heading1"/>
      </w:pPr>
      <w:r>
        <w:t>5. Функциональные модули MVP</w:t>
      </w:r>
    </w:p>
    <w:p>
      <w:pPr>
        <w:pStyle w:val="Heading2"/>
      </w:pPr>
      <w:r>
        <w:t>Модуль 1. Цифровой паспорт объекта</w:t>
      </w:r>
    </w:p>
    <w:p>
      <w:r>
        <w:t>Единая карточка объекта; участники; стадия; ключевые показатели; история решений; связанные модели и документы.</w:t>
      </w:r>
    </w:p>
    <w:p>
      <w:pPr>
        <w:pStyle w:val="Heading2"/>
      </w:pPr>
      <w:r>
        <w:t>Модуль 2. Маршрут инвестиционно-строительного цикла</w:t>
      </w:r>
    </w:p>
    <w:p>
      <w:r>
        <w:t>Пошаговый маршрут процедур; зависимости; ответственные; дедлайны; блокировки; автоматические уведомления.</w:t>
      </w:r>
    </w:p>
    <w:p>
      <w:pPr>
        <w:pStyle w:val="Heading2"/>
      </w:pPr>
      <w:r>
        <w:t>Модуль 3. ТИМ / цифровая модель</w:t>
      </w:r>
    </w:p>
    <w:p>
      <w:r>
        <w:t>Загрузка; просмотр; версии; проверки; коллизии; замечания; привязка к смете, графику и исполнительной документации.</w:t>
      </w:r>
    </w:p>
    <w:p>
      <w:pPr>
        <w:pStyle w:val="Heading2"/>
      </w:pPr>
      <w:r>
        <w:t>Модуль 4. Экспертиза и согласования</w:t>
      </w:r>
    </w:p>
    <w:p>
      <w:r>
        <w:t>Комплектность; замечания; ответы; электронные решения; контроль нормативных сроков.</w:t>
      </w:r>
    </w:p>
    <w:p>
      <w:pPr>
        <w:pStyle w:val="Heading2"/>
      </w:pPr>
      <w:r>
        <w:t>Модуль 5. Строительный контроль</w:t>
      </w:r>
    </w:p>
    <w:p>
      <w:r>
        <w:t>План-факт; исполнительная документация; фото/видео; предписания; акты; отклонения от проектных решений.</w:t>
      </w:r>
    </w:p>
    <w:p>
      <w:pPr>
        <w:pStyle w:val="Heading2"/>
      </w:pPr>
      <w:r>
        <w:t>Модуль 6. Коммунальная инфраструктура</w:t>
      </w:r>
    </w:p>
    <w:p>
      <w:r>
        <w:t>Электронный паспорт; ТУ; подключения; аварии; ремонт; инвестиционные мероприятия; готовность к отопительному сезону.</w:t>
      </w:r>
    </w:p>
    <w:p>
      <w:pPr>
        <w:pStyle w:val="Heading2"/>
      </w:pPr>
      <w:r>
        <w:t>Модуль 7. Эксплуатация и ЖКХ</w:t>
      </w:r>
    </w:p>
    <w:p>
      <w:r>
        <w:t>Передача объекта; техническое состояние; обращения; обслуживание; капремонт; данные для ГИС ЖКХ.</w:t>
      </w:r>
    </w:p>
    <w:p>
      <w:pPr>
        <w:pStyle w:val="Heading2"/>
      </w:pPr>
      <w:r>
        <w:t>Модуль 8. Аналитический центр</w:t>
      </w:r>
    </w:p>
    <w:p>
      <w:r>
        <w:t>Дашборды; сроки; стоимость; риски; качество данных; рейтинг проблем; цифровая зрелость; ИИ-прогноз.</w:t>
      </w:r>
    </w:p>
    <w:p>
      <w:pPr>
        <w:pStyle w:val="Heading1"/>
      </w:pPr>
      <w:r>
        <w:t>6. Ролевая модель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504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Рабочий контур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Федеральный регулятор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Политики, показатели, мониторинг, нормативные требования, межведомственная координация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Регион / муниципалитет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Портфель объектов, градостроительные процедуры, инфраструктура, контроль сроков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Государственный заказчик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Планирование, бюджет, контрактование, ход проекта, приемка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Застройщик / инвестор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Маршрут проекта, документы, согласования, сроки, риски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Технический заказчик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Управление проектированием и строительством, контроль качества и сроков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Проектировщик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ТИМ, документация, версии, ответы на замечания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Экспертиза / надзор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Проверки, замечания, заключения, предписания, использование модели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Подрядчик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Производство работ, исполнительная документация, план-факт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РСО / управляющая организация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Подключения, эксплуатация, аварии, ремонты, техническое состояние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Гражданин / собственник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Статусы услуг, обращения, данные ЖКХ, цифровое взаимодействие</w:t>
            </w:r>
          </w:p>
        </w:tc>
      </w:tr>
    </w:tbl>
    <w:p>
      <w:pPr>
        <w:pStyle w:val="Heading1"/>
      </w:pPr>
      <w:r>
        <w:t>7. Интеграционная архитектура</w:t>
      </w:r>
    </w:p>
    <w:p>
      <w:pPr>
        <w:pStyle w:val="Lead"/>
      </w:pPr>
      <w:r>
        <w:t>Принцип: API-first, событийный обмен и отсутствие повторного ручного ввода сведений, уже находящихся в государственных системах.</w:t>
      </w:r>
    </w:p>
    <w:p>
      <w:pPr>
        <w:pStyle w:val="ListBullet"/>
        <w:spacing w:after="60"/>
      </w:pPr>
      <w:r>
        <w:t>ЕГИСОГД «Стройкомплекс.РФ» и региональные ГИСОГД/ИСОГД.</w:t>
      </w:r>
    </w:p>
    <w:p>
      <w:pPr>
        <w:pStyle w:val="ListBullet"/>
        <w:spacing w:after="60"/>
      </w:pPr>
      <w:r>
        <w:t>ФГИС ЕГРЗ и контуры государственной экспертизы.</w:t>
      </w:r>
    </w:p>
    <w:p>
      <w:pPr>
        <w:pStyle w:val="ListBullet"/>
        <w:spacing w:after="60"/>
      </w:pPr>
      <w:r>
        <w:t>ФГИС ЦС и сметно-ценовые данные.</w:t>
      </w:r>
    </w:p>
    <w:p>
      <w:pPr>
        <w:pStyle w:val="ListBullet"/>
        <w:spacing w:after="60"/>
      </w:pPr>
      <w:r>
        <w:t>ЕИСЖС и отраслевые данные жилищного строительства.</w:t>
      </w:r>
    </w:p>
    <w:p>
      <w:pPr>
        <w:pStyle w:val="ListBullet"/>
        <w:spacing w:after="60"/>
      </w:pPr>
      <w:r>
        <w:t>ГИС ЖКХ и «Госуслуги Дом».</w:t>
      </w:r>
    </w:p>
    <w:p>
      <w:pPr>
        <w:pStyle w:val="ListBullet"/>
        <w:spacing w:after="60"/>
      </w:pPr>
      <w:r>
        <w:t>НСПД и кадастрово-пространственные сервисы Росреестра.</w:t>
      </w:r>
    </w:p>
    <w:p>
      <w:pPr>
        <w:pStyle w:val="ListBullet"/>
        <w:spacing w:after="60"/>
      </w:pPr>
      <w:r>
        <w:t>ЕПГУ/Госуслуги и электронные государственные услуги.</w:t>
      </w:r>
    </w:p>
    <w:p>
      <w:pPr>
        <w:pStyle w:val="ListBullet"/>
        <w:spacing w:after="60"/>
      </w:pPr>
      <w:r>
        <w:t>Информационные системы управления проектами государственных заказчиков.</w:t>
      </w:r>
    </w:p>
    <w:p>
      <w:pPr>
        <w:pStyle w:val="ListBullet"/>
        <w:spacing w:after="60"/>
      </w:pPr>
      <w:r>
        <w:t>ГИС ТОР КНД и цифровой государственный контроль/надзор.</w:t>
      </w:r>
    </w:p>
    <w:p>
      <w:pPr>
        <w:pStyle w:val="ListBullet"/>
        <w:spacing w:after="60"/>
      </w:pPr>
      <w:r>
        <w:t>Корпоративные ERP/PM/СОД/ТИМ-среды участников рынка через стандартизированные API.</w:t>
      </w:r>
    </w:p>
    <w:p>
      <w:pPr>
        <w:pStyle w:val="Heading1"/>
      </w:pPr>
      <w:r>
        <w:t>8. Технологическая архитектура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Клиентский слой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Web/mobile кабинеты, адаптивный интерфейс, роль-ориентированные рабочие столы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Единый пользовательский опыт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API Gateway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Аутентификация, маршрутизация, квоты, журналирование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Безопасные интеграции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Процессный движок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BPMN/машина состояний, SLA, маршрутизация задач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Исполнимые регламенты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Master Data / Registry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Единые справочники и идентификаторы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Согласованность данных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Документы и подпись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ЭДО, версии, УКЭП, машиночитаемые формы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Юридически значимый цифровой процесс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ТИМ-сервисы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Хранилище моделей, viewer, проверки, IFC/открытые форматы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Цифровой двойник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Data Lake / DWH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История, телеметрия, агрегаты, витрины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Аналитическая база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ИИ-сервисы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Классификация, поиск, проверка, прогноз, выявление аномалий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Снижение ручного труда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Интеграционная шина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События, очереди, ETL/ELT, API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Связность федеральных и региональных систем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ИБ и аудит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Ролевая модель, сегментация, журнал действий, резервирование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Устойчивость и доверие</w:t>
            </w:r>
          </w:p>
        </w:tc>
      </w:tr>
    </w:tbl>
    <w:p>
      <w:pPr>
        <w:pStyle w:val="Heading1"/>
      </w:pPr>
      <w:r>
        <w:t>9. Приоритетные сценарии ИИ</w:t>
      </w:r>
    </w:p>
    <w:p>
      <w:pPr>
        <w:pStyle w:val="ListBullet"/>
        <w:spacing w:after="60"/>
      </w:pPr>
      <w:r>
        <w:t>Автоматическая проверка комплектности пакета документов перед подачей.</w:t>
      </w:r>
    </w:p>
    <w:p>
      <w:pPr>
        <w:pStyle w:val="ListBullet"/>
        <w:spacing w:after="60"/>
      </w:pPr>
      <w:r>
        <w:t>Семантическое сопоставление требований нормативных документов с проектными решениями.</w:t>
      </w:r>
    </w:p>
    <w:p>
      <w:pPr>
        <w:pStyle w:val="ListBullet"/>
        <w:spacing w:after="60"/>
      </w:pPr>
      <w:r>
        <w:t>Поиск противоречий между документами, ТИМ-моделью, сметой и календарным графиком.</w:t>
      </w:r>
    </w:p>
    <w:p>
      <w:pPr>
        <w:pStyle w:val="ListBullet"/>
        <w:spacing w:after="60"/>
      </w:pPr>
      <w:r>
        <w:t>Прогноз риска срыва сроков и превышения бюджета по портфелю объектов.</w:t>
      </w:r>
    </w:p>
    <w:p>
      <w:pPr>
        <w:pStyle w:val="ListBullet"/>
        <w:spacing w:after="60"/>
      </w:pPr>
      <w:r>
        <w:t>Выявление аномалий в исполнительной документации и фотофиксации.</w:t>
      </w:r>
    </w:p>
    <w:p>
      <w:pPr>
        <w:pStyle w:val="ListBullet"/>
        <w:spacing w:after="60"/>
      </w:pPr>
      <w:r>
        <w:t>Риск-профиль подрядчика и поставщика на основе подтвержденных данных исполнения.</w:t>
      </w:r>
    </w:p>
    <w:p>
      <w:pPr>
        <w:pStyle w:val="ListBullet"/>
        <w:spacing w:after="60"/>
      </w:pPr>
      <w:r>
        <w:t>Прогноз аварийности коммунальной инфраструктуры по состоянию, возрасту и телеметрии.</w:t>
      </w:r>
    </w:p>
    <w:p>
      <w:pPr>
        <w:pStyle w:val="ListBullet"/>
        <w:spacing w:after="60"/>
      </w:pPr>
      <w:r>
        <w:t>Интеллектуальный помощник участника инвестиционно-строительного цикла по процедурам и статусам.</w:t>
      </w:r>
    </w:p>
    <w:p>
      <w:pPr>
        <w:pStyle w:val="Heading1"/>
      </w:pPr>
      <w:r>
        <w:t>10. Система показателей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Сроки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Медианная длительность ключевых процедур; длительность полного цикла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Сокращение времени проекта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Цифровизация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Доля процедур без бумажного дублирования; доля машиночитаемых документов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Переход к данным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ТИМ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Доля объектов с актуальной информационной моделью; доля проверок по модели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Реальное применение цифрового двойника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Интеграции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Доля сведений, получаемых автоматически; число повторных ручных вводов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Бесшовность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Качество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Количество ошибок/возвратов; полнота и актуальность данных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Повышение надежности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Стоимость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Отклонение бюджет/факт; стоимость транзакций и согласований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Снижение непроизводительных потерь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ЖКХ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Полнота электронных паспортов; аварийность; время восстановления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Управление инфраструктурой по состоянию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Управление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Доля объектов с ранним выявлением риска; время реакции на отклонение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Проактивное управление</w:t>
            </w:r>
          </w:p>
        </w:tc>
      </w:tr>
    </w:tbl>
    <w:p>
      <w:pPr>
        <w:pStyle w:val="Heading1"/>
      </w:pPr>
      <w:r>
        <w:t>11. Дорожная карта внедрения</w:t>
      </w:r>
    </w:p>
    <w:p>
      <w:r>
        <w:rPr>
          <w:b/>
          <w:color w:val="2F75B5"/>
        </w:rPr>
        <w:t>Этап 0 — 8–12 недель</w:t>
      </w:r>
      <w:r>
        <w:t xml:space="preserve"> — Архитектурное обследование; реестр сущностей; карта интеграций; выбор пилота; нормативная матрица; макет интерфейсов.</w:t>
      </w:r>
    </w:p>
    <w:p>
      <w:r>
        <w:rPr>
          <w:b/>
          <w:color w:val="2F75B5"/>
        </w:rPr>
        <w:t>Этап 1 — 4–6 месяцев</w:t>
      </w:r>
      <w:r>
        <w:t xml:space="preserve"> — MVP: паспорт объекта, маршрут, документы, ТИМ-viewer, дашборд, 3–5 интеграций.</w:t>
      </w:r>
    </w:p>
    <w:p>
      <w:r>
        <w:rPr>
          <w:b/>
          <w:color w:val="2F75B5"/>
        </w:rPr>
        <w:t>Этап 2 — 6–12 месяцев</w:t>
      </w:r>
      <w:r>
        <w:t xml:space="preserve"> — Стройконтроль, коммунальная инфраструктура, расширение интеграций, электронные акты, региональный портфель.</w:t>
      </w:r>
    </w:p>
    <w:p>
      <w:r>
        <w:rPr>
          <w:b/>
          <w:color w:val="2F75B5"/>
        </w:rPr>
        <w:t>Этап 3 — 12–18 месяцев</w:t>
      </w:r>
      <w:r>
        <w:t xml:space="preserve"> — Эксплуатация/ЖКХ, ИИ-сценарии, цифровой двойник, тиражирование на несколько регионов.</w:t>
      </w:r>
    </w:p>
    <w:p>
      <w:r>
        <w:rPr>
          <w:b/>
          <w:color w:val="2F75B5"/>
        </w:rPr>
        <w:t>Этап 4 — до 2030</w:t>
      </w:r>
      <w:r>
        <w:t xml:space="preserve"> — Масштабирование, унификация моделей данных, промышленная эксплуатация, отраслевые витрины и межрегиональный анализ.</w:t>
      </w:r>
    </w:p>
    <w:p>
      <w:pPr>
        <w:pStyle w:val="Heading1"/>
      </w:pPr>
      <w:r>
        <w:t>12. Рекомендуемый пилот</w:t>
      </w:r>
    </w:p>
    <w:p>
      <w:pPr>
        <w:pStyle w:val="Lead"/>
      </w:pPr>
      <w:r>
        <w:t>Пилот должен быть не «порталом ради портала», а демонстрацией сквозного прохождения одного реального объекта через цифровой маршрут.</w:t>
      </w:r>
    </w:p>
    <w:p>
      <w:pPr>
        <w:pStyle w:val="ListBullet"/>
        <w:spacing w:after="60"/>
      </w:pPr>
      <w:r>
        <w:t>Один регион / один крупный заказчик / 3–10 объектов.</w:t>
      </w:r>
    </w:p>
    <w:p>
      <w:pPr>
        <w:pStyle w:val="ListBullet"/>
        <w:spacing w:after="60"/>
      </w:pPr>
      <w:r>
        <w:t>Фиксированный набор процедур: исходные данные → проектирование → экспертиза → разрешение → строительство → исполнительная документация → ввод.</w:t>
      </w:r>
    </w:p>
    <w:p>
      <w:pPr>
        <w:pStyle w:val="ListBullet"/>
        <w:spacing w:after="60"/>
      </w:pPr>
      <w:r>
        <w:t>Обязательная ТИМ-модель и цифровой паспорт объекта.</w:t>
      </w:r>
    </w:p>
    <w:p>
      <w:pPr>
        <w:pStyle w:val="ListBullet"/>
        <w:spacing w:after="60"/>
      </w:pPr>
      <w:r>
        <w:t>Интеграции минимум со «Стройкомплекс.РФ»/региональной ГИСОГД, экспертизой, НСПД и системой заказчика.</w:t>
      </w:r>
    </w:p>
    <w:p>
      <w:pPr>
        <w:pStyle w:val="ListBullet"/>
        <w:spacing w:after="60"/>
      </w:pPr>
      <w:r>
        <w:t>Контрольные метрики до/после: срок процедуры, число ручных вводов, возвраты, ошибки, задержки, время подготовки отчетности.</w:t>
      </w:r>
    </w:p>
    <w:p>
      <w:pPr>
        <w:pStyle w:val="Heading1"/>
      </w:pPr>
      <w:r>
        <w:t>13. Организационная модель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3360"/>
            <w:shd w:fill="17365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Совет проекта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Минстрой/регион/заказчик/оператор/ключевые ведомства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Решения по приоритетам и барьерам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Архитектурный комитет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Данные, интеграции, ТИМ, ИБ, стандарты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Целостность архитектуры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Продуктовый офис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Пользовательские сценарии, бэклог, метрики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Быстрое развитие продукта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Центр данных и качества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НСИ, паспорта, правила качества, витрины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Доверие к данным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Центр компетенций ТИМ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Форматы, модели, проверки, обучение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Единые правила работы с моделями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17365D"/>
                <w:sz w:val="18"/>
              </w:rPr>
              <w:t>Центр эксплуатации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SLA, инциденты, релизы, устойчивость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1F2937"/>
                <w:sz w:val="18"/>
              </w:rPr>
              <w:t>Промышленная надежность</w:t>
            </w:r>
          </w:p>
        </w:tc>
      </w:tr>
    </w:tbl>
    <w:p>
      <w:pPr>
        <w:pStyle w:val="Heading1"/>
      </w:pPr>
      <w:r>
        <w:t>14. Архитектурные принципы</w:t>
      </w:r>
    </w:p>
    <w:p>
      <w:pPr>
        <w:pStyle w:val="ListBullet"/>
        <w:spacing w:after="60"/>
      </w:pPr>
      <w:r>
        <w:t>Данные один раз: сведения вводятся или получаются из первичного источника и переиспользуются.</w:t>
      </w:r>
    </w:p>
    <w:p>
      <w:pPr>
        <w:pStyle w:val="ListBullet"/>
        <w:spacing w:after="60"/>
      </w:pPr>
      <w:r>
        <w:t>Объект как цифровая сущность: все документы и события связаны с единым паспортом.</w:t>
      </w:r>
    </w:p>
    <w:p>
      <w:pPr>
        <w:pStyle w:val="ListBullet"/>
        <w:spacing w:after="60"/>
      </w:pPr>
      <w:r>
        <w:t>Открытые интерфейсы: интеграции через документированные API и события.</w:t>
      </w:r>
    </w:p>
    <w:p>
      <w:pPr>
        <w:pStyle w:val="ListBullet"/>
        <w:spacing w:after="60"/>
      </w:pPr>
      <w:r>
        <w:t>Машиночитаемость по умолчанию: XML/JSON/структурированные формы вместо «PDF как базы данных».</w:t>
      </w:r>
    </w:p>
    <w:p>
      <w:pPr>
        <w:pStyle w:val="ListBullet"/>
        <w:spacing w:after="60"/>
      </w:pPr>
      <w:r>
        <w:t>Версионность и доказуемость: история изменений, авторство, подпись и аудит каждого критичного действия.</w:t>
      </w:r>
    </w:p>
    <w:p>
      <w:pPr>
        <w:pStyle w:val="ListBullet"/>
        <w:spacing w:after="60"/>
      </w:pPr>
      <w:r>
        <w:t>Федеративность: единые правила и модели данных при сохранении региональных и корпоративных систем.</w:t>
      </w:r>
    </w:p>
    <w:p>
      <w:pPr>
        <w:pStyle w:val="ListBullet"/>
        <w:spacing w:after="60"/>
      </w:pPr>
      <w:r>
        <w:t>Безопасность по архитектуре: минимальные права, сегментация, журналирование, резервирование и контроль цепочки поставок ПО.</w:t>
      </w:r>
    </w:p>
    <w:p>
      <w:pPr>
        <w:pStyle w:val="ListBullet"/>
        <w:spacing w:after="60"/>
      </w:pPr>
      <w:r>
        <w:t>Импортонезависимость: приоритет отечественных компонентов и переносимых открытых форматов.</w:t>
      </w:r>
    </w:p>
    <w:p>
      <w:pPr>
        <w:pStyle w:val="Heading1"/>
      </w:pPr>
      <w:r>
        <w:t>15. Решения, которые необходимо принять для запуска</w:t>
      </w:r>
    </w:p>
    <w:p>
      <w:pPr>
        <w:pStyle w:val="ListBullet"/>
        <w:spacing w:after="60"/>
      </w:pPr>
      <w:r>
        <w:t>Утвердить владельца продукта и пилотную территорию/заказчика.</w:t>
      </w:r>
    </w:p>
    <w:p>
      <w:pPr>
        <w:pStyle w:val="ListBullet"/>
        <w:spacing w:after="60"/>
      </w:pPr>
      <w:r>
        <w:t>Утвердить каноническую модель данных и идентификатор объекта.</w:t>
      </w:r>
    </w:p>
    <w:p>
      <w:pPr>
        <w:pStyle w:val="ListBullet"/>
        <w:spacing w:after="60"/>
      </w:pPr>
      <w:r>
        <w:t>Определить 5–7 обязательных интеграций первого этапа.</w:t>
      </w:r>
    </w:p>
    <w:p>
      <w:pPr>
        <w:pStyle w:val="ListBullet"/>
        <w:spacing w:after="60"/>
      </w:pPr>
      <w:r>
        <w:t>Выбрать эталонный маршрут инвестиционно-строительного цикла для MVP.</w:t>
      </w:r>
    </w:p>
    <w:p>
      <w:pPr>
        <w:pStyle w:val="ListBullet"/>
        <w:spacing w:after="60"/>
      </w:pPr>
      <w:r>
        <w:t>Зафиксировать требования к ТИМ-модели и общей среде данных.</w:t>
      </w:r>
    </w:p>
    <w:p>
      <w:pPr>
        <w:pStyle w:val="ListBullet"/>
        <w:spacing w:after="60"/>
      </w:pPr>
      <w:r>
        <w:t>Утвердить KPI пилота и методику измерения эффекта.</w:t>
      </w:r>
    </w:p>
    <w:p>
      <w:pPr>
        <w:pStyle w:val="ListBullet"/>
        <w:spacing w:after="60"/>
      </w:pPr>
      <w:r>
        <w:t>Сформировать межведомственную архитектурную группу и продуктовый офис.</w:t>
      </w:r>
    </w:p>
    <w:p>
      <w:pPr>
        <w:pStyle w:val="Heading1"/>
      </w:pPr>
      <w:r>
        <w:t>Источники</w:t>
      </w:r>
    </w:p>
    <w:p>
      <w:pPr>
        <w:pStyle w:val="Small"/>
      </w:pPr>
      <w:r>
        <w:t>1. Распоряжение Правительства Российской Федерации от 02.03.2026 № 398-р «Об утверждении стратегического направления в области цифровой трансформации отраслей строительства и жилищно-коммунального хозяйства Российской Федерации до 2030 года». Официальный сайт Правительства России: https://government.ru/docs/all/163630/</w:t>
      </w:r>
    </w:p>
    <w:p>
      <w:pPr>
        <w:pStyle w:val="Small"/>
      </w:pPr>
      <w:r>
        <w:t>2. Официальный PDF распоряжения: https://static.government.ru/media/files/A6eGtkkDnhcpleQoLgSn8XTLxP5RCvBT.pdf</w:t>
      </w:r>
    </w:p>
    <w:p>
      <w:pPr>
        <w:pStyle w:val="Small"/>
      </w:pPr>
      <w:r>
        <w:t>Документ является концептуальной архитектурой и не подменяет нормативные акты, технические требования государственных информационных систем и обязательные процедуры информационной безопасности.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Концепция 1.0 •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t>ЕДИНЫЙ СТРОИТЕЛЬНЫЙ ПОРТАЛ  |  Архитектура цифровой платформы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75B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rPr>
      <w:rFonts w:ascii="Aptos" w:hAnsi="Aptos"/>
      <w:color w:val="5B6573"/>
      <w:sz w:val="26"/>
    </w:rPr>
  </w:style>
  <w:style w:type="paragraph" w:customStyle="1" w:styleId="Small">
    <w:name w:val="Small"/>
    <w:rPr>
      <w:rFonts w:ascii="Aptos" w:hAnsi="Aptos"/>
      <w:color w:val="5B6573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