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 w:after="360"/>
        <w:jc w:val="left"/>
      </w:pPr>
      <w:r>
        <w:rPr>
          <w:rFonts w:ascii="Arial" w:hAnsi="Arial" w:eastAsia="Arial"/>
          <w:b/>
          <w:color w:val="B6533B"/>
          <w:sz w:val="20"/>
        </w:rPr>
        <w:t>ПРОЕКТ КОНЦЕПЦИИ</w:t>
      </w:r>
    </w:p>
    <w:p>
      <w:pPr>
        <w:keepNext/>
        <w:spacing w:after="240"/>
      </w:pPr>
      <w:r>
        <w:rPr>
          <w:rFonts w:ascii="Arial" w:hAnsi="Arial" w:eastAsia="Arial"/>
          <w:b/>
          <w:color w:val="132A46"/>
          <w:sz w:val="62"/>
        </w:rPr>
        <w:t>ЕДИНЫЙ</w:t>
        <w:br/>
        <w:t>СТРОИТЕЛЬНЫЙ</w:t>
        <w:br/>
        <w:t>ПОРТАЛ</w:t>
      </w:r>
    </w:p>
    <w:p>
      <w:pPr>
        <w:spacing w:after="440"/>
      </w:pPr>
      <w:r>
        <w:rPr>
          <w:rFonts w:ascii="Arial" w:hAnsi="Arial" w:eastAsia="Arial"/>
          <w:color w:val="1E5F95"/>
          <w:sz w:val="29"/>
        </w:rPr>
        <w:t>Государственная цифровая экосистема управления полным жизненным циклом объектов капитального строительства</w:t>
      </w:r>
    </w:p>
    <w:p>
      <w:pPr>
        <w:spacing w:after="840"/>
        <w:ind w:left="259"/>
        <w:shd w:val="clear" w:fill="E8F0F7"/>
        <w:pBdr>
          <w:left w:val="single" w:sz="24" w:space="12" w:color="B6533B"/>
        </w:pBdr>
      </w:pPr>
      <w:r>
        <w:rPr>
          <w:rFonts w:ascii="Arial" w:hAnsi="Arial" w:eastAsia="Arial"/>
          <w:b/>
          <w:color w:val="132A46"/>
          <w:sz w:val="24"/>
        </w:rPr>
        <w:t>Один объект — единый цифровой паспорт — управляемый жизненный цикл</w:t>
      </w:r>
    </w:p>
    <w:p>
      <w:pPr>
        <w:keepNext w:val="0"/>
        <w:widowControl/>
        <w:spacing w:before="0" w:after="60" w:line="240" w:lineRule="auto"/>
      </w:pPr>
      <w:r>
        <w:rPr>
          <w:rFonts w:ascii="Arial" w:hAnsi="Arial" w:eastAsia="Arial"/>
          <w:b/>
          <w:color w:val="5F6B76"/>
          <w:sz w:val="19"/>
        </w:rPr>
        <w:t xml:space="preserve">Назначение: </w:t>
      </w:r>
      <w:r>
        <w:rPr>
          <w:rFonts w:ascii="Arial" w:hAnsi="Arial" w:eastAsia="Arial"/>
          <w:color w:val="1E2935"/>
          <w:sz w:val="19"/>
        </w:rPr>
        <w:t>Межведомственное согласование, пилотирование и федеральное масштабирование</w:t>
      </w:r>
    </w:p>
    <w:p>
      <w:pPr>
        <w:keepNext w:val="0"/>
        <w:widowControl/>
        <w:spacing w:before="0" w:after="60" w:line="240" w:lineRule="auto"/>
      </w:pPr>
      <w:r>
        <w:rPr>
          <w:rFonts w:ascii="Arial" w:hAnsi="Arial" w:eastAsia="Arial"/>
          <w:b/>
          <w:color w:val="5F6B76"/>
          <w:sz w:val="19"/>
        </w:rPr>
        <w:t xml:space="preserve">Адресаты: </w:t>
      </w:r>
      <w:r>
        <w:rPr>
          <w:rFonts w:ascii="Arial" w:hAnsi="Arial" w:eastAsia="Arial"/>
          <w:color w:val="1E2935"/>
          <w:sz w:val="19"/>
        </w:rPr>
        <w:t>Правительство РФ, Минстрой России, регионы, институты развития и строительная отрасль</w:t>
      </w:r>
    </w:p>
    <w:p>
      <w:pPr>
        <w:keepNext w:val="0"/>
        <w:widowControl/>
        <w:spacing w:before="0" w:after="60" w:line="240" w:lineRule="auto"/>
      </w:pPr>
      <w:r>
        <w:rPr>
          <w:rFonts w:ascii="Arial" w:hAnsi="Arial" w:eastAsia="Arial"/>
          <w:b/>
          <w:color w:val="5F6B76"/>
          <w:sz w:val="19"/>
        </w:rPr>
        <w:t xml:space="preserve">Инициатор: </w:t>
      </w:r>
      <w:r>
        <w:rPr>
          <w:rFonts w:ascii="Arial" w:hAnsi="Arial" w:eastAsia="Arial"/>
          <w:color w:val="1E2935"/>
          <w:sz w:val="19"/>
        </w:rPr>
        <w:t>Соколов Сергей Леонидович</w:t>
      </w:r>
    </w:p>
    <w:p>
      <w:pPr>
        <w:keepNext w:val="0"/>
        <w:widowControl/>
        <w:spacing w:before="0" w:after="60" w:line="240" w:lineRule="auto"/>
      </w:pPr>
      <w:r>
        <w:rPr>
          <w:rFonts w:ascii="Arial" w:hAnsi="Arial" w:eastAsia="Arial"/>
          <w:b/>
          <w:color w:val="5F6B76"/>
          <w:sz w:val="19"/>
        </w:rPr>
        <w:t xml:space="preserve">Экосистема: </w:t>
      </w:r>
      <w:r>
        <w:rPr>
          <w:rFonts w:ascii="Arial" w:hAnsi="Arial" w:eastAsia="Arial"/>
          <w:color w:val="1E2935"/>
          <w:sz w:val="19"/>
        </w:rPr>
        <w:t>ЭКВИЛИБРИУМ — СФЕРА — ECO-PPA — СПЕЦЗАЩИТА</w:t>
      </w:r>
    </w:p>
    <w:p>
      <w:pPr>
        <w:keepNext w:val="0"/>
        <w:widowControl/>
        <w:spacing w:before="0" w:after="60" w:line="240" w:lineRule="auto"/>
      </w:pPr>
      <w:r>
        <w:rPr>
          <w:rFonts w:ascii="Arial" w:hAnsi="Arial" w:eastAsia="Arial"/>
          <w:b/>
          <w:color w:val="5F6B76"/>
          <w:sz w:val="19"/>
        </w:rPr>
        <w:t xml:space="preserve">Версия: </w:t>
      </w:r>
      <w:r>
        <w:rPr>
          <w:rFonts w:ascii="Arial" w:hAnsi="Arial" w:eastAsia="Arial"/>
          <w:color w:val="1E2935"/>
          <w:sz w:val="19"/>
        </w:rPr>
        <w:t>1.0 / 25 августа 2026 года</w:t>
      </w:r>
    </w:p>
    <w:p>
      <w:pPr>
        <w:spacing w:before="560"/>
        <w:jc w:val="left"/>
      </w:pPr>
      <w:r>
        <w:rPr>
          <w:rFonts w:ascii="Arial" w:hAnsi="Arial" w:eastAsia="Arial"/>
          <w:b/>
          <w:color w:val="B6533B"/>
          <w:sz w:val="19"/>
        </w:rPr>
        <w:t>Москва • 2026</w:t>
      </w:r>
    </w:p>
    <w:p>
      <w:pPr>
        <w:keepNext/>
        <w:pageBreakBefore/>
        <w:widowControl/>
        <w:spacing w:before="40" w:after="80" w:line="240" w:lineRule="auto"/>
      </w:pPr>
      <w:r>
        <w:rPr>
          <w:rFonts w:ascii="Arial" w:hAnsi="Arial" w:eastAsia="Arial"/>
          <w:b/>
          <w:color w:val="B6533B"/>
          <w:sz w:val="17"/>
        </w:rPr>
        <w:t>НАВИГАЦИЯ</w:t>
      </w:r>
    </w:p>
    <w:p>
      <w:pPr>
        <w:pStyle w:val="Heading1"/>
        <w:keepNext/>
      </w:pPr>
      <w:r>
        <w:t>Содержание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1. Исполнительное резюме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2. Исходная ситуация и задача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3. Целевая модель и принципы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4. Пользователи и жизненный цикл объекта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5. Девятнадцать функциональных модулей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6. Место портала в государственной цифровой архитектуре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7. Единая модель данных и цифровой паспорт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8. Сквозной процесс и контрольные ворота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9. Аналитика, искусственный интеллект и цифровой двойник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10. Управление, безопасность и правовой контур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11. Экономическая модель, KPI и эффекты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12. MVP, пилот и дорожная карта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13. Риски и решения, требуемые для старта</w:t>
      </w:r>
    </w:p>
    <w:p>
      <w:pPr>
        <w:spacing w:after="100"/>
      </w:pPr>
      <w:r>
        <w:rPr>
          <w:rFonts w:ascii="Arial" w:hAnsi="Arial" w:eastAsia="Arial"/>
          <w:color w:val="1E2935"/>
          <w:sz w:val="21"/>
        </w:rPr>
        <w:t>Приложения: интеграции, роли, термины и источники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8F0F7"/>
        <w:pBdr>
          <w:left w:val="single" w:sz="20" w:space="10" w:color="1E5F95"/>
        </w:pBdr>
      </w:pPr>
      <w:r>
        <w:rPr>
          <w:rFonts w:ascii="Arial" w:hAnsi="Arial" w:eastAsia="Arial"/>
          <w:b/>
          <w:color w:val="1E5F95"/>
        </w:rPr>
        <w:t xml:space="preserve">Статус. </w:t>
      </w:r>
      <w:r>
        <w:rPr>
          <w:rFonts w:ascii="Arial" w:hAnsi="Arial" w:eastAsia="Arial"/>
          <w:color w:val="1E2935"/>
        </w:rPr>
        <w:t>Документ является проектом концепции. Он не заменяет нормативные правовые акты и не изменяет полномочия действующих государственных информационных систем. Все юридически значимые решения остаются за уполномоченными органами и лицами.</w:t>
      </w:r>
    </w:p>
    <w:p>
      <w:pPr>
        <w:keepNext/>
        <w:pageBreakBefore/>
        <w:widowControl/>
        <w:spacing w:before="40" w:after="80" w:line="240" w:lineRule="auto"/>
      </w:pPr>
      <w:r>
        <w:rPr>
          <w:rFonts w:ascii="Arial" w:hAnsi="Arial" w:eastAsia="Arial"/>
          <w:b/>
          <w:color w:val="B6533B"/>
          <w:sz w:val="17"/>
        </w:rPr>
        <w:t>ГЛАВНЫЙ ВЫВОД</w:t>
      </w:r>
    </w:p>
    <w:p>
      <w:pPr>
        <w:pStyle w:val="Heading1"/>
        <w:keepNext/>
      </w:pPr>
      <w:r>
        <w:t>1. Исполнительное резюме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7F3F1"/>
        <w:pBdr>
          <w:left w:val="single" w:sz="20" w:space="10" w:color="287C78"/>
        </w:pBdr>
      </w:pPr>
      <w:r>
        <w:rPr>
          <w:rFonts w:ascii="Arial" w:hAnsi="Arial" w:eastAsia="Arial"/>
          <w:b/>
          <w:color w:val="287C78"/>
        </w:rPr>
        <w:t xml:space="preserve">Предложение. </w:t>
      </w:r>
      <w:r>
        <w:rPr>
          <w:rFonts w:ascii="Arial" w:hAnsi="Arial" w:eastAsia="Arial"/>
          <w:color w:val="1E2935"/>
        </w:rPr>
        <w:t>Создать Единый строительный портал как доверенный интеграционный и транзакционный слой вокруг объекта капитального строительства: с единым идентификатором, цифровым паспортом, событийной историей, контрольными воротами, измеримым результатом и архивом доказательств.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Портал не должен дублировать ЕИС «Стройкомплекс.РФ», ГИСОГД, НСПД, ЕГРЗ, ФГИС ЦС, ЕИСЖС, ЕИС в сфере закупок, ЕГРН, Госуслуги и иные действующие системы. Каждая из них сохраняет собственные полномочия и статус источника юридически значимых сведений. Портал связывает их данные и действия в единый жизненный цикл конкретного объекта.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Целевой эффект — перейти от фрагментированного обмена документами к управлению результатом: сроки, стоимость, качество, безопасность, обеспеченность ресурсами, влияние на территорию и эксплуатационная готовность становятся видимыми до возникновения критического отклонения.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Архитектура строится на принципе «одни данные — многократное законное использование». Пользователь входит через ЕСИА, создаёт или принимает цифровой паспорт объекта, а сведения подгружаются из доверенных источников по API и через событийный обмен. Повторный ручной ввод допускается только как исключение с указанием причины.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В проектной экосистеме СФЕРА собирает потребности и участников; ECO-PPA формирует программную, ресурсную и договорную рамку; СПЕЦЗАЩИТА организует кооперацию и исполнение; ЭКВИЛИБРИУМ выполняет мониторинг, прогнозирование и проверку результата; ИАЦ обеспечивает поддержку решений и работу с отклонениями. Единый строительный портал становится отраслевой точкой сборки этих функций и государственных сервисов.</w:t>
      </w:r>
    </w:p>
    <w:p>
      <w:pPr>
        <w:keepLines/>
        <w:widowControl/>
        <w:numPr>
          <w:ilvl w:val="0"/>
          <w:numId w:val="12"/>
        </w:numPr>
        <w:spacing w:after="120" w:line="280" w:lineRule="auto"/>
      </w:pPr>
      <w:r>
        <w:rPr>
          <w:rFonts w:ascii="Arial" w:hAnsi="Arial" w:eastAsia="Arial"/>
          <w:color w:val="1E2935"/>
        </w:rPr>
        <w:t>Утвердить концепцию портала и межведомственную рабочую группу.</w:t>
      </w:r>
    </w:p>
    <w:p>
      <w:pPr>
        <w:keepLines/>
        <w:widowControl/>
        <w:numPr>
          <w:ilvl w:val="0"/>
          <w:numId w:val="12"/>
        </w:numPr>
        <w:spacing w:after="120" w:line="280" w:lineRule="auto"/>
      </w:pPr>
      <w:r>
        <w:rPr>
          <w:rFonts w:ascii="Arial" w:hAnsi="Arial" w:eastAsia="Arial"/>
          <w:color w:val="1E2935"/>
        </w:rPr>
        <w:t>За 30 дней провести инвентаризацию процессов, реестров и интеграций без создания параллельных баз данных.</w:t>
      </w:r>
    </w:p>
    <w:p>
      <w:pPr>
        <w:keepLines/>
        <w:widowControl/>
        <w:numPr>
          <w:ilvl w:val="0"/>
          <w:numId w:val="12"/>
        </w:numPr>
        <w:spacing w:after="120" w:line="280" w:lineRule="auto"/>
      </w:pPr>
      <w:r>
        <w:rPr>
          <w:rFonts w:ascii="Arial" w:hAnsi="Arial" w:eastAsia="Arial"/>
          <w:color w:val="1E2935"/>
        </w:rPr>
        <w:t>За 90 дней запустить MVP на трёх типах объектов: жильё, социальная инфраструктура, промышленно-инфраструктурный объект.</w:t>
      </w:r>
    </w:p>
    <w:p>
      <w:pPr>
        <w:keepLines/>
        <w:widowControl/>
        <w:numPr>
          <w:ilvl w:val="0"/>
          <w:numId w:val="12"/>
        </w:numPr>
        <w:spacing w:after="120" w:line="280" w:lineRule="auto"/>
      </w:pPr>
      <w:r>
        <w:rPr>
          <w:rFonts w:ascii="Arial" w:hAnsi="Arial" w:eastAsia="Arial"/>
          <w:color w:val="1E2935"/>
        </w:rPr>
        <w:t>Принять единый стандарт цифрового паспорта объекта и событийного журнала.</w:t>
      </w:r>
    </w:p>
    <w:p>
      <w:pPr>
        <w:keepLines/>
        <w:widowControl/>
        <w:numPr>
          <w:ilvl w:val="0"/>
          <w:numId w:val="12"/>
        </w:numPr>
        <w:spacing w:after="120" w:line="280" w:lineRule="auto"/>
      </w:pPr>
      <w:r>
        <w:rPr>
          <w:rFonts w:ascii="Arial" w:hAnsi="Arial" w:eastAsia="Arial"/>
          <w:color w:val="1E2935"/>
        </w:rPr>
        <w:t>Закрепить пилотные KPI, независимую верификацию и порядок масштабирования.</w:t>
      </w:r>
    </w:p>
    <w:p>
      <w:pPr>
        <w:pStyle w:val="Heading1"/>
        <w:keepNext/>
      </w:pPr>
      <w:r>
        <w:t>2. Исходная ситуация и задача</w:t>
      </w:r>
    </w:p>
    <w:p>
      <w:pPr>
        <w:pStyle w:val="Heading2"/>
        <w:keepNext/>
      </w:pPr>
      <w:r>
        <w:t>2.1. Фрагментация возникает не из-за отсутствия систем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В строительстве уже действует развитый набор федеральных, региональных, ведомственных и корпоративных информационных систем. Проблема возникает на стыках: один и тот же объект имеет разные идентификаторы, версии документов, составы участников, модели стоимости и статусы в разных контурах.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Разрыв жизненного цикла. </w:t>
      </w:r>
      <w:r>
        <w:rPr>
          <w:rFonts w:ascii="Arial" w:hAnsi="Arial" w:eastAsia="Arial"/>
          <w:color w:val="1E2935"/>
        </w:rPr>
        <w:t>Земельное решение, проектирование, экспертиза, закупка, стройка, ввод и эксплуатация ведутся как последовательность отдельных дел, а не как единый объект управления.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Разрыв ответственности. </w:t>
      </w:r>
      <w:r>
        <w:rPr>
          <w:rFonts w:ascii="Arial" w:hAnsi="Arial" w:eastAsia="Arial"/>
          <w:color w:val="1E2935"/>
        </w:rPr>
        <w:t>Передача документов между участниками не всегда означает передачу измеримой ответственности за результат.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Разрыв данных. </w:t>
      </w:r>
      <w:r>
        <w:rPr>
          <w:rFonts w:ascii="Arial" w:hAnsi="Arial" w:eastAsia="Arial"/>
          <w:color w:val="1E2935"/>
        </w:rPr>
        <w:t>Сведения повторно вводятся, расходятся по версиям и не всегда имеют подтверждённый источник и временную метку.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Позднее обнаружение риска. </w:t>
      </w:r>
      <w:r>
        <w:rPr>
          <w:rFonts w:ascii="Arial" w:hAnsi="Arial" w:eastAsia="Arial"/>
          <w:color w:val="1E2935"/>
        </w:rPr>
        <w:t>Отклонение становится очевидным после потери времени или денежных средств, а не на стадии сценарного анализа.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Слабая обратная связь. </w:t>
      </w:r>
      <w:r>
        <w:rPr>
          <w:rFonts w:ascii="Arial" w:hAnsi="Arial" w:eastAsia="Arial"/>
          <w:color w:val="1E2935"/>
        </w:rPr>
        <w:t>Эксплуатационные дефекты и фактические показатели редко возвращаются в проектирование, нормирование и выбор подрядчиков.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8F0F7"/>
        <w:pBdr>
          <w:left w:val="single" w:sz="20" w:space="10" w:color="1E5F95"/>
        </w:pBdr>
      </w:pPr>
      <w:r>
        <w:rPr>
          <w:rFonts w:ascii="Arial" w:hAnsi="Arial" w:eastAsia="Arial"/>
          <w:b/>
          <w:color w:val="1E5F95"/>
        </w:rPr>
        <w:t xml:space="preserve">Критерий успеха. </w:t>
      </w:r>
      <w:r>
        <w:rPr>
          <w:rFonts w:ascii="Arial" w:hAnsi="Arial" w:eastAsia="Arial"/>
          <w:color w:val="1E2935"/>
        </w:rPr>
        <w:t>Портал должен сокращать число разрывов между участниками и системами, а не увеличивать число кабинетов, форм и отчётностей.</w:t>
      </w:r>
    </w:p>
    <w:p>
      <w:pPr>
        <w:pStyle w:val="Heading2"/>
        <w:keepNext/>
      </w:pPr>
      <w:r>
        <w:t>2.2. Государственная рамка уже формирует цифровую вертикаль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Ключевые элементы цифровой вертикали строительной отрасли уже существуют: ЕИС «Стройкомплекс.РФ» и реестры требований и документов, региональные ГИСОГД, информационные системы управления проектами, ГИС ТОР КНД, ЕГРЗ, ФГИС ЦС, ЕИСЖС, НСПД и электронные государственные услуги. В 2026 году Правительство РФ утвердило обновлённое стратегическое направление цифровой трансформации строительства и ЖКХ до 2030 года.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Поэтому архитектурное решение должно быть федеративным: сохранять полномочия владельцев данных, использовать открытые интеграционные контракты, обеспечивать сквозную идентификацию объекта и давать единый пользовательский путь поверх действующих источников.</w:t>
      </w:r>
    </w:p>
    <w:p>
      <w:pPr>
        <w:pStyle w:val="Heading1"/>
        <w:keepNext/>
      </w:pPr>
      <w:r>
        <w:t>3. Целевая модель и принципы</w:t>
      </w:r>
    </w:p>
    <w:p>
      <w:pPr>
        <w:pStyle w:val="Heading2"/>
        <w:keepNext/>
      </w:pPr>
      <w:r>
        <w:t>3.1. Что представляет собой портал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Единый строительный портал — государственная цифровая экосистема, объединяющая услуги, данные, участников, контракты, ресурсы, контроль и аналитику вокруг полного жизненного цикла объекта капитального строительства.</w:t>
      </w:r>
    </w:p>
    <w:p>
      <w:pPr>
        <w:pStyle w:val="Heading2"/>
        <w:keepNext/>
        <w:pageBreakBefore/>
      </w:pPr>
      <w:r>
        <w:t>3.2. Десять принципов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FBF3DF"/>
        <w:pBdr>
          <w:left w:val="single" w:sz="20" w:space="10" w:color="C68C24"/>
        </w:pBdr>
      </w:pPr>
      <w:r>
        <w:rPr>
          <w:rFonts w:ascii="Arial" w:hAnsi="Arial" w:eastAsia="Arial"/>
          <w:b/>
          <w:color w:val="C68C24"/>
        </w:rPr>
        <w:t xml:space="preserve">Формула. </w:t>
      </w:r>
      <w:r>
        <w:rPr>
          <w:rFonts w:ascii="Arial" w:hAnsi="Arial" w:eastAsia="Arial"/>
          <w:color w:val="1E2935"/>
        </w:rPr>
        <w:t>Единый идентификатор объекта + цифровой паспорт + достоверные источники + событийный журнал + контрольные ворота + объяснимая аналитика + архив доказательств.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Объект, а не ведомственная форма, является центральной единицей управления.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Действующие государственные системы остаются источниками юридически значимых сведений.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Данные вводятся один раз и используются повторно в пределах правового режима.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Каждая версия, решение, событие и источник сохраняются в аудируемой истории.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Человек принимает юридически и социально значимое решение; алгоритм объясняет факторы и последствия.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Доступ предоставляется по роли, цели, полномочию и минимально необходимому объёму данных.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Интерфейсы строятся вокруг жизненных ситуаций гражданина, бизнеса, заказчика и органа власти.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Региональная вариативность поддерживается без разрушения федерального ядра данных и стандартов.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Открытые API, единые классификаторы и экспорт данных предотвращают зависимость от одного поставщика.</w:t>
      </w:r>
    </w:p>
    <w:p>
      <w:pPr>
        <w:keepLines/>
        <w:widowControl/>
        <w:numPr>
          <w:ilvl w:val="0"/>
          <w:numId w:val="13"/>
        </w:numPr>
        <w:spacing w:after="120" w:line="280" w:lineRule="auto"/>
      </w:pPr>
      <w:r>
        <w:rPr>
          <w:rFonts w:ascii="Arial" w:hAnsi="Arial" w:eastAsia="Arial"/>
          <w:color w:val="1E2935"/>
        </w:rPr>
        <w:t>Результат измеряется фактом ввода, качества и эксплуатации, а не количеством загруженных документов.</w:t>
      </w:r>
    </w:p>
    <w:p>
      <w:pPr>
        <w:pStyle w:val="Heading2"/>
        <w:keepNext/>
      </w:pPr>
      <w:r>
        <w:t>3.3. Что портал не делает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не создаёт параллельную вертикаль государственного управления;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не отменяет действующие процедуры, полномочия и реестры без отдельного нормативного решения;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не подменяет эксперта, инспектора, заказчика, проектировщика или орган регистрации;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не хранит избыточные копии данных, если доступен надёжный первичный источник;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не допускает непрозрачного автоматического отказа, рейтинга или санкции.</w:t>
      </w:r>
    </w:p>
    <w:p>
      <w:pPr>
        <w:pStyle w:val="Heading1"/>
        <w:keepNext/>
      </w:pPr>
      <w:r>
        <w:t>4. Пользователи и жизненный цикл объекта</w:t>
      </w:r>
    </w:p>
    <w:p>
      <w:pPr>
        <w:pStyle w:val="Heading2"/>
        <w:keepNext/>
      </w:pPr>
      <w:r>
        <w:t>4.1. Пользовательские контуры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300"/>
        <w:gridCol w:w="7060"/>
      </w:tblGrid>
      <w:tr>
        <w:trPr>
          <w:cantSplit w:val="true"/>
          <w:tblHeader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Пользователь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Основной путь в портале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Гражданин / сообщество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Потребность территории, общественное обсуждение, доступ к открытым статусам и результатам</w:t>
            </w:r>
          </w:p>
        </w:tc>
      </w:tr>
      <w:tr>
        <w:trPr>
          <w:cantSplit w:val="true"/>
        </w:trPr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Инвестор / застройщик</w:t>
            </w:r>
          </w:p>
        </w:tc>
        <w:tc>
          <w:tcPr>
            <w:tcW w:type="dxa" w:w="70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Инициатива, земельный сценарий, разрешения, финансирование, продажи и ввод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Заказчик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Планирование, бюджет, закупка, контракт, приёмка и управление изменениями</w:t>
            </w:r>
          </w:p>
        </w:tc>
      </w:tr>
      <w:tr>
        <w:trPr>
          <w:cantSplit w:val="true"/>
        </w:trPr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Проектировщик / эксперт</w:t>
            </w:r>
          </w:p>
        </w:tc>
        <w:tc>
          <w:tcPr>
            <w:tcW w:type="dxa" w:w="70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Требования, ТИМ, версии проектной документации, замечания и заключения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Подрядчик / поставщик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Квалификация, мощности, график, материалы, логистика, акты и качество</w:t>
            </w:r>
          </w:p>
        </w:tc>
      </w:tr>
      <w:tr>
        <w:trPr>
          <w:cantSplit w:val="true"/>
        </w:trPr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Орган власти / надзор</w:t>
            </w:r>
          </w:p>
        </w:tc>
        <w:tc>
          <w:tcPr>
            <w:tcW w:type="dxa" w:w="70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Услуги, согласования, контроль, риск-индикаторы, межведомственное взаимодействие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Эксплуатирующая организация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Цифровой паспорт, регламенты, обслуживание, ремонты, аварийность и обратная связь</w:t>
            </w:r>
          </w:p>
        </w:tc>
      </w:tr>
      <w:tr>
        <w:trPr>
          <w:cantSplit w:val="true"/>
        </w:trPr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Финансовый / страховой партнёр</w:t>
            </w:r>
          </w:p>
        </w:tc>
        <w:tc>
          <w:tcPr>
            <w:tcW w:type="dxa" w:w="70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Риски, транши, гарантии, страховые события и подтверждение результата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4.2. Десять стадий сквозного жизненного цикла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Потребность и инициатива: </w:t>
      </w:r>
      <w:r>
        <w:rPr>
          <w:rFonts w:ascii="Arial" w:hAnsi="Arial" w:eastAsia="Arial"/>
          <w:color w:val="1E2935"/>
          <w:sz w:val="19"/>
        </w:rPr>
        <w:t>обоснование общественной, инфраструктурной или инвестиционной потребности.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Территория и земля: </w:t>
      </w:r>
      <w:r>
        <w:rPr>
          <w:rFonts w:ascii="Arial" w:hAnsi="Arial" w:eastAsia="Arial"/>
          <w:color w:val="1E2935"/>
          <w:sz w:val="19"/>
        </w:rPr>
        <w:t>пространственные ограничения, права, градостроительный потенциал и инженерное обеспечение.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Инвестиционная модель: </w:t>
      </w:r>
      <w:r>
        <w:rPr>
          <w:rFonts w:ascii="Arial" w:hAnsi="Arial" w:eastAsia="Arial"/>
          <w:color w:val="1E2935"/>
          <w:sz w:val="19"/>
        </w:rPr>
        <w:t>сценарии стоимости, финансирования, доходов, рисков и общественного эффекта.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Проектирование: </w:t>
      </w:r>
      <w:r>
        <w:rPr>
          <w:rFonts w:ascii="Arial" w:hAnsi="Arial" w:eastAsia="Arial"/>
          <w:color w:val="1E2935"/>
          <w:sz w:val="19"/>
        </w:rPr>
        <w:t>задание, изыскания, ТИМ, требования, версии и согласование решений.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Экспертиза и разрешения: </w:t>
      </w:r>
      <w:r>
        <w:rPr>
          <w:rFonts w:ascii="Arial" w:hAnsi="Arial" w:eastAsia="Arial"/>
          <w:color w:val="1E2935"/>
          <w:sz w:val="19"/>
        </w:rPr>
        <w:t>заключения, замечания, разрешительные действия и контроль комплектности.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Закупка и контрактация: </w:t>
      </w:r>
      <w:r>
        <w:rPr>
          <w:rFonts w:ascii="Arial" w:hAnsi="Arial" w:eastAsia="Arial"/>
          <w:color w:val="1E2935"/>
          <w:sz w:val="19"/>
        </w:rPr>
        <w:t>отбор исполнителей, контрактная модель, график, обеспечение и ответственность.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Строительство и поставки: </w:t>
      </w:r>
      <w:r>
        <w:rPr>
          <w:rFonts w:ascii="Arial" w:hAnsi="Arial" w:eastAsia="Arial"/>
          <w:color w:val="1E2935"/>
          <w:sz w:val="19"/>
        </w:rPr>
        <w:t>работы, ресурсы, логистика, исполнительная документация и изменения.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Контроль и ввод: </w:t>
      </w:r>
      <w:r>
        <w:rPr>
          <w:rFonts w:ascii="Arial" w:hAnsi="Arial" w:eastAsia="Arial"/>
          <w:color w:val="1E2935"/>
          <w:sz w:val="19"/>
        </w:rPr>
        <w:t>строительный надзор, приёмка, регистрация прав и ввод в эксплуатацию.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Эксплуатация и ремонт: </w:t>
      </w:r>
      <w:r>
        <w:rPr>
          <w:rFonts w:ascii="Arial" w:hAnsi="Arial" w:eastAsia="Arial"/>
          <w:color w:val="1E2935"/>
          <w:sz w:val="19"/>
        </w:rPr>
        <w:t>техническое обслуживание, ремонты, потребление ресурсов и безопасность.</w:t>
      </w:r>
    </w:p>
    <w:p>
      <w:pPr>
        <w:keepLines/>
        <w:widowControl/>
        <w:numPr>
          <w:ilvl w:val="0"/>
          <w:numId w:val="14"/>
        </w:numPr>
        <w:spacing w:after="40" w:line="245" w:lineRule="auto"/>
      </w:pPr>
      <w:r>
        <w:rPr>
          <w:rFonts w:ascii="Arial" w:hAnsi="Arial" w:eastAsia="Arial"/>
          <w:b/>
          <w:color w:val="1E2935"/>
          <w:sz w:val="19"/>
        </w:rPr>
        <w:t xml:space="preserve">Реновация или вывод: </w:t>
      </w:r>
      <w:r>
        <w:rPr>
          <w:rFonts w:ascii="Arial" w:hAnsi="Arial" w:eastAsia="Arial"/>
          <w:color w:val="1E2935"/>
          <w:sz w:val="19"/>
        </w:rPr>
        <w:t>реконструкция, демонтаж, повторное использование материалов и восстановление территории.</w:t>
      </w:r>
    </w:p>
    <w:p>
      <w:pPr>
        <w:pStyle w:val="Heading1"/>
        <w:keepNext/>
        <w:pageBreakBefore/>
      </w:pPr>
      <w:r>
        <w:t>5. Девятнадцать функциональных модулей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Модули объединяются единым паспортом объекта и могут внедряться поэтапно. В MVP запускается минимальный набор, а остальные подключаются через согласованные интерфейсы и единые классификаторы.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520"/>
        <w:gridCol w:w="2350"/>
        <w:gridCol w:w="3880"/>
        <w:gridCol w:w="2610"/>
      </w:tblGrid>
      <w:tr>
        <w:trPr>
          <w:cantSplit w:val="true"/>
          <w:tblHeader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№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Модуль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Ключевой сервис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Основная связка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Инициативы и потребности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Сбор, приоритизация и общественно-территориальное обоснование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СФЕРА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2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Территория и земля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Пространственные данные, ограничения, зоны, права, участки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НСПД / ГИСОГД / ЕГРН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3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Цифровой паспорт объекта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Единый ID, цель, параметры, статусы, версии, связи и доказательства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Ядро портала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4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Участники и компетенции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Профили организаций, допуски, мощности, опыт, ответственность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Портал / внешние реестры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5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Требования и стандарты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Применимые нормы, технические условия, реестр требований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Стройкомплекс.РФ / ЕУТ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6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Изыскания, проектирование и ТИМ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Задание, модели, коллизии, версии, общая среда данных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Проектные ИС / ИСУП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7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Экспертиза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Подача, замечания, заключения, типовые решения и история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ЕГРЗ / ЕЦПЭ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8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Разрешения и услуги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Жизненные ситуации, заявления, межведомственный обмен, результат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Госуслуги / ГИСОГД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9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Стоимость и ресурсы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Сметы, индексы, цены, нормативы, потребность в материалах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ФГИС ЦС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10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Финансирование и ECO-PPA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Финансовая модель, транши, гарантии, страхование, распределение рисков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ECO-PPA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5.1. Модули 11–19: исполнение, эксплуатация и прогноз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520"/>
        <w:gridCol w:w="2350"/>
        <w:gridCol w:w="3880"/>
        <w:gridCol w:w="2610"/>
      </w:tblGrid>
      <w:tr>
        <w:trPr>
          <w:cantSplit w:val="true"/>
          <w:tblHeader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№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Модуль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Ключевой сервис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Основная связка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11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Закупки и контракты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Планирование, процедуры, договоры, обязательства, изменения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ЕИС закупок / ЭДО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12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Кооперация и мощности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Консорциумы, загрузка производств, рабочая сила и субподряд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СПЕЦЗАЩИТА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13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Материалы и логистика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Происхождение, сертификаты, партии, маршруты, склады и поставки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Поставщики / транспортные ИС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14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Управление строительством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Календарь, фактический прогресс, исполнительная документация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ИСУП / ИС подрядчика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15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Контроль, качество и безопасность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Риск-ориентированный надзор, дефекты, охрана труда, устранение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ГИС ТОР КНД / надзор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16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Ввод и регистрация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Готовность, разрешение на ввод, технический план, права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Госуслуги / Росреестр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17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Эксплуатация и ремонты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Регламенты, заявки, обслуживание, состояние и потребление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ГИС ЖКХ / эксплуатационные ИС</w:t>
            </w:r>
          </w:p>
        </w:tc>
      </w:tr>
      <w:tr>
        <w:trPr>
          <w:cantSplit w:val="true"/>
        </w:trPr>
        <w:tc>
          <w:tcPr>
            <w:tcW w:type="dxa" w:w="5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18</w:t>
            </w:r>
          </w:p>
        </w:tc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Воздействие и верификация</w:t>
            </w:r>
          </w:p>
        </w:tc>
        <w:tc>
          <w:tcPr>
            <w:tcW w:type="dxa" w:w="388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Экологические и социальные показатели, ESG-IR 1.0, архив доказательств</w:t>
            </w:r>
          </w:p>
        </w:tc>
        <w:tc>
          <w:tcPr>
            <w:tcW w:type="dxa" w:w="26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ECO-PPA / независимые органы</w:t>
            </w:r>
          </w:p>
        </w:tc>
      </w:tr>
      <w:tr>
        <w:trPr>
          <w:cantSplit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7"/>
              </w:rPr>
              <w:t>19</w:t>
            </w:r>
          </w:p>
        </w:tc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Аналитика и прогноз</w:t>
            </w:r>
          </w:p>
        </w:tc>
        <w:tc>
          <w:tcPr>
            <w:tcW w:type="dxa" w:w="3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Цифровой двойник, сценарии, раннее предупреждение, контроль результата</w:t>
            </w:r>
          </w:p>
        </w:tc>
        <w:tc>
          <w:tcPr>
            <w:tcW w:type="dxa" w:w="26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ЭКВИЛИБРИУМ / ИАЦ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6. Место портала в государственной цифровой архитектуре</w:t>
      </w:r>
    </w:p>
    <w:p>
      <w:pPr>
        <w:pStyle w:val="Heading2"/>
        <w:keepNext/>
      </w:pPr>
      <w:r>
        <w:t>6.1. Принцип федерации систем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Портал обеспечивает пользовательскую и процессную целостность, но не присваивает данные, полномочия и юридический статус подключаемых систем. Для каждого поля цифрового паспорта фиксируются источник, владелец, основание доступа, время получения, версия и допустимый способ использования.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250"/>
        <w:gridCol w:w="3820"/>
        <w:gridCol w:w="3290"/>
      </w:tblGrid>
      <w:tr>
        <w:trPr>
          <w:cantSplit w:val="true"/>
          <w:tblHeader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Система / контур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Что остаётся источником истины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Роль портала</w:t>
            </w:r>
          </w:p>
        </w:tc>
      </w:tr>
      <w:tr>
        <w:trPr>
          <w:cantSplit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ЕСИА / Госуслуги / МФЦ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Идентификация, доверенность, подача и результат услуги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Единый вход и жизненная ситуация</w:t>
            </w:r>
          </w:p>
        </w:tc>
      </w:tr>
      <w:tr>
        <w:trPr>
          <w:cantSplit w:val="true"/>
        </w:trPr>
        <w:tc>
          <w:tcPr>
            <w:tcW w:type="dxa" w:w="22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ЕИС «Стройкомплекс.РФ»</w:t>
            </w:r>
          </w:p>
        </w:tc>
        <w:tc>
          <w:tcPr>
            <w:tcW w:type="dxa" w:w="38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Федеральные сведения градостроительной деятельности, реестры требований и документов</w:t>
            </w:r>
          </w:p>
        </w:tc>
        <w:tc>
          <w:tcPr>
            <w:tcW w:type="dxa" w:w="329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Синхронизация применимых требований и статусов</w:t>
            </w:r>
          </w:p>
        </w:tc>
      </w:tr>
      <w:tr>
        <w:trPr>
          <w:cantSplit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Региональные ГИСОГД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Региональные градостроительные сведения и услуги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Процессный обмен по объекту и территории</w:t>
            </w:r>
          </w:p>
        </w:tc>
      </w:tr>
      <w:tr>
        <w:trPr>
          <w:cantSplit w:val="true"/>
        </w:trPr>
        <w:tc>
          <w:tcPr>
            <w:tcW w:type="dxa" w:w="22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НСПД / ЕГРН</w:t>
            </w:r>
          </w:p>
        </w:tc>
        <w:tc>
          <w:tcPr>
            <w:tcW w:type="dxa" w:w="38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Пространственные данные, участки, права и ограничения</w:t>
            </w:r>
          </w:p>
        </w:tc>
        <w:tc>
          <w:tcPr>
            <w:tcW w:type="dxa" w:w="329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Карта объекта и проверка пространственных условий</w:t>
            </w:r>
          </w:p>
        </w:tc>
      </w:tr>
      <w:tr>
        <w:trPr>
          <w:cantSplit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ЕГРЗ / ЕЦПЭ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Заключения экспертизы и связанные комплекты документации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Контроль ворот экспертизы и повторное использование решений</w:t>
            </w:r>
          </w:p>
        </w:tc>
      </w:tr>
      <w:tr>
        <w:trPr>
          <w:cantSplit w:val="true"/>
        </w:trPr>
        <w:tc>
          <w:tcPr>
            <w:tcW w:type="dxa" w:w="22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ФГИС ЦС</w:t>
            </w:r>
          </w:p>
        </w:tc>
        <w:tc>
          <w:tcPr>
            <w:tcW w:type="dxa" w:w="38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Сметные нормативы, индексы, цены и классификаторы ресурсов</w:t>
            </w:r>
          </w:p>
        </w:tc>
        <w:tc>
          <w:tcPr>
            <w:tcW w:type="dxa" w:w="329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Обоснование стоимости и мониторинг отклонений</w:t>
            </w:r>
          </w:p>
        </w:tc>
      </w:tr>
      <w:tr>
        <w:trPr>
          <w:cantSplit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ЕИСЖС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Сведения о жилищном строительстве и застройщиках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Контур жилья, раскрытие и аналитика</w:t>
            </w:r>
          </w:p>
        </w:tc>
      </w:tr>
      <w:tr>
        <w:trPr>
          <w:cantSplit w:val="true"/>
        </w:trPr>
        <w:tc>
          <w:tcPr>
            <w:tcW w:type="dxa" w:w="22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ЕИС в сфере закупок</w:t>
            </w:r>
          </w:p>
        </w:tc>
        <w:tc>
          <w:tcPr>
            <w:tcW w:type="dxa" w:w="38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Планы, процедуры, контракты и исполнение закупок</w:t>
            </w:r>
          </w:p>
        </w:tc>
        <w:tc>
          <w:tcPr>
            <w:tcW w:type="dxa" w:w="329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Связь закупки с паспортом и графиком объекта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6.1.1. Операционные и финансовые контуры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250"/>
        <w:gridCol w:w="3820"/>
        <w:gridCol w:w="3290"/>
      </w:tblGrid>
      <w:tr>
        <w:trPr>
          <w:cantSplit w:val="true"/>
          <w:tblHeader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Система / контур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Что остаётся источником истины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Роль портала</w:t>
            </w:r>
          </w:p>
        </w:tc>
      </w:tr>
      <w:tr>
        <w:trPr>
          <w:cantSplit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ГИС ТОР КНД / ИС надзора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Контрольные действия, риск-категории, предписания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Риск-ориентированный контроль и устранение</w:t>
            </w:r>
          </w:p>
        </w:tc>
      </w:tr>
      <w:tr>
        <w:trPr>
          <w:cantSplit w:val="true"/>
        </w:trPr>
        <w:tc>
          <w:tcPr>
            <w:tcW w:type="dxa" w:w="22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ИСУП и проектные ИС</w:t>
            </w:r>
          </w:p>
        </w:tc>
        <w:tc>
          <w:tcPr>
            <w:tcW w:type="dxa" w:w="38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Графики, ТИМ, задания, фактический прогресс и документы</w:t>
            </w:r>
          </w:p>
        </w:tc>
        <w:tc>
          <w:tcPr>
            <w:tcW w:type="dxa" w:w="329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Операционное управление и событийный обмен</w:t>
            </w:r>
          </w:p>
        </w:tc>
      </w:tr>
      <w:tr>
        <w:trPr>
          <w:cantSplit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ГИС ЖКХ / эксплуатационные ИС</w:t>
            </w:r>
          </w:p>
        </w:tc>
        <w:tc>
          <w:tcPr>
            <w:tcW w:type="dxa" w:w="38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Эксплуатация, состояние, заявки и ремонты</w:t>
            </w:r>
          </w:p>
        </w:tc>
        <w:tc>
          <w:tcPr>
            <w:tcW w:type="dxa" w:w="329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Передача цифрового паспорта и обратная связь</w:t>
            </w:r>
          </w:p>
        </w:tc>
      </w:tr>
      <w:tr>
        <w:trPr>
          <w:cantSplit w:val="true"/>
        </w:trPr>
        <w:tc>
          <w:tcPr>
            <w:tcW w:type="dxa" w:w="22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Финансовые и страховые ИС</w:t>
            </w:r>
          </w:p>
        </w:tc>
        <w:tc>
          <w:tcPr>
            <w:tcW w:type="dxa" w:w="38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Платежи, транши, гарантии, лимиты и события</w:t>
            </w:r>
          </w:p>
        </w:tc>
        <w:tc>
          <w:tcPr>
            <w:tcW w:type="dxa" w:w="329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Подтверждение условий финансирования и риска</w:t>
            </w:r>
          </w:p>
        </w:tc>
      </w:tr>
    </w:tbl>
    <w:p>
      <w:pPr>
        <w:spacing w:after="20"/>
      </w:pP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8F0F7"/>
        <w:pBdr>
          <w:left w:val="single" w:sz="20" w:space="10" w:color="1E5F95"/>
        </w:pBdr>
      </w:pPr>
      <w:r>
        <w:rPr>
          <w:rFonts w:ascii="Arial" w:hAnsi="Arial" w:eastAsia="Arial"/>
          <w:b/>
          <w:color w:val="1E5F95"/>
        </w:rPr>
        <w:t xml:space="preserve">Архитектурный запрет. </w:t>
      </w:r>
      <w:r>
        <w:rPr>
          <w:rFonts w:ascii="Arial" w:hAnsi="Arial" w:eastAsia="Arial"/>
          <w:color w:val="1E2935"/>
        </w:rPr>
        <w:t>Нельзя переносить в портал все реестры целиком. Интеграция строится по принципам ссылки на первичный источник, минимально необходимой репликации, кэширования с версией и подтверждаемой актуальности.</w:t>
      </w:r>
    </w:p>
    <w:p>
      <w:pPr>
        <w:pStyle w:val="Heading2"/>
        <w:keepNext/>
      </w:pPr>
      <w:r>
        <w:t>6.2. Роли проектной экосистемы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100"/>
        <w:gridCol w:w="4110"/>
        <w:gridCol w:w="3150"/>
      </w:tblGrid>
      <w:tr>
        <w:trPr>
          <w:cantSplit w:val="true"/>
          <w:tblHeader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41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1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Результат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СФЕРА</w:t>
            </w:r>
          </w:p>
        </w:tc>
        <w:tc>
          <w:tcPr>
            <w:tcW w:type="dxa" w:w="41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Вход потребностей, инициатив, сообществ и участников</w:t>
            </w:r>
          </w:p>
        </w:tc>
        <w:tc>
          <w:tcPr>
            <w:tcW w:type="dxa" w:w="31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Инициатива и общественная ценность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ECO-PPA</w:t>
            </w:r>
          </w:p>
        </w:tc>
        <w:tc>
          <w:tcPr>
            <w:tcW w:type="dxa" w:w="41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Программная, ресурсная, договорная и финансовая рамка</w:t>
            </w:r>
          </w:p>
        </w:tc>
        <w:tc>
          <w:tcPr>
            <w:tcW w:type="dxa" w:w="31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Сбалансированная модель проекта и риска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СПЕЦЗАЩИТА</w:t>
            </w:r>
          </w:p>
        </w:tc>
        <w:tc>
          <w:tcPr>
            <w:tcW w:type="dxa" w:w="41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Производственная кооперация, консорциумы и исполнение</w:t>
            </w:r>
          </w:p>
        </w:tc>
        <w:tc>
          <w:tcPr>
            <w:tcW w:type="dxa" w:w="31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Мобилизация мощностей и поставка результата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ЭКВИЛИБРИУМ</w:t>
            </w:r>
          </w:p>
        </w:tc>
        <w:tc>
          <w:tcPr>
            <w:tcW w:type="dxa" w:w="41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Наблюдение, прогнозирование, сценарии и раннее предупреждение</w:t>
            </w:r>
          </w:p>
        </w:tc>
        <w:tc>
          <w:tcPr>
            <w:tcW w:type="dxa" w:w="31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Объяснимые сигналы и контроль результата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ИАЦ</w:t>
            </w:r>
          </w:p>
        </w:tc>
        <w:tc>
          <w:tcPr>
            <w:tcW w:type="dxa" w:w="41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Поддержка решений, приоритизация и управление отклонениями</w:t>
            </w:r>
          </w:p>
        </w:tc>
        <w:tc>
          <w:tcPr>
            <w:tcW w:type="dxa" w:w="31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Решение человека на основе доказательств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ЕУТ</w:t>
            </w:r>
          </w:p>
        </w:tc>
        <w:tc>
          <w:tcPr>
            <w:tcW w:type="dxa" w:w="41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Единые классификаторы, протоколы и технологические правила</w:t>
            </w:r>
          </w:p>
        </w:tc>
        <w:tc>
          <w:tcPr>
            <w:tcW w:type="dxa" w:w="31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Совместимость и повторяемость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Единый строительный портал</w:t>
            </w:r>
          </w:p>
        </w:tc>
        <w:tc>
          <w:tcPr>
            <w:tcW w:type="dxa" w:w="41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Единый путь пользователя и объекта, интеграция и журнал событий</w:t>
            </w:r>
          </w:p>
        </w:tc>
        <w:tc>
          <w:tcPr>
            <w:tcW w:type="dxa" w:w="31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Отраслевая точка сборки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Единая модель данных и цифровой паспорт</w:t>
      </w:r>
    </w:p>
    <w:p>
      <w:pPr>
        <w:pStyle w:val="Heading2"/>
        <w:keepNext/>
      </w:pPr>
      <w:r>
        <w:t>7.1. Единицы данных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1650"/>
        <w:gridCol w:w="3850"/>
        <w:gridCol w:w="3860"/>
      </w:tblGrid>
      <w:tr>
        <w:trPr>
          <w:cantSplit w:val="true"/>
          <w:tblHeader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Сущность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ObjectID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Неизменяемый идентификатор объекта или комплекса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Связывает сведения всех стадий</w:t>
            </w:r>
          </w:p>
        </w:tc>
      </w:tr>
      <w:tr>
        <w:trPr>
          <w:cantSplit w:val="true"/>
        </w:trPr>
        <w:tc>
          <w:tcPr>
            <w:tcW w:type="dxa" w:w="16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TerritoryID</w:t>
            </w:r>
          </w:p>
        </w:tc>
        <w:tc>
          <w:tcPr>
            <w:tcW w:type="dxa" w:w="38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Участок, зона, территория или линейный коридор</w:t>
            </w:r>
          </w:p>
        </w:tc>
        <w:tc>
          <w:tcPr>
            <w:tcW w:type="dxa" w:w="38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Связь с пространственными ограничениями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PartyID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Организация, орган власти, эксперт или ответственное лицо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Роль, полномочие и ответственность</w:t>
            </w:r>
          </w:p>
        </w:tc>
      </w:tr>
      <w:tr>
        <w:trPr>
          <w:cantSplit w:val="true"/>
        </w:trPr>
        <w:tc>
          <w:tcPr>
            <w:tcW w:type="dxa" w:w="16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RequirementID</w:t>
            </w:r>
          </w:p>
        </w:tc>
        <w:tc>
          <w:tcPr>
            <w:tcW w:type="dxa" w:w="38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Норма, техническое условие, обязательство</w:t>
            </w:r>
          </w:p>
        </w:tc>
        <w:tc>
          <w:tcPr>
            <w:tcW w:type="dxa" w:w="38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Применимость и доказательство выполнения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DocumentID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Документ или информационная модель с версией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Источник, подпись, статус и связь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7.1.1. Транзакционные и событийные сущности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1650"/>
        <w:gridCol w:w="3850"/>
        <w:gridCol w:w="3860"/>
      </w:tblGrid>
      <w:tr>
        <w:trPr>
          <w:cantSplit w:val="true"/>
          <w:tblHeader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Сущность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ContractID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Договор, контракт, транш или гарантия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Обязательство, срок, стоимость и событие</w:t>
            </w:r>
          </w:p>
        </w:tc>
      </w:tr>
      <w:tr>
        <w:trPr>
          <w:cantSplit w:val="true"/>
        </w:trPr>
        <w:tc>
          <w:tcPr>
            <w:tcW w:type="dxa" w:w="16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ResourceID</w:t>
            </w:r>
          </w:p>
        </w:tc>
        <w:tc>
          <w:tcPr>
            <w:tcW w:type="dxa" w:w="38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Материал, оборудование, труд, мощность или энергия</w:t>
            </w:r>
          </w:p>
        </w:tc>
        <w:tc>
          <w:tcPr>
            <w:tcW w:type="dxa" w:w="38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Происхождение, количество и поставка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EventID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Факт изменения состояния объекта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Время, инициатор, основание, прежнее и новое состояние</w:t>
            </w:r>
          </w:p>
        </w:tc>
      </w:tr>
      <w:tr>
        <w:trPr>
          <w:cantSplit w:val="true"/>
        </w:trPr>
        <w:tc>
          <w:tcPr>
            <w:tcW w:type="dxa" w:w="16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EvidenceID</w:t>
            </w:r>
          </w:p>
        </w:tc>
        <w:tc>
          <w:tcPr>
            <w:tcW w:type="dxa" w:w="38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Подтверждение результата или устранения риска</w:t>
            </w:r>
          </w:p>
        </w:tc>
        <w:tc>
          <w:tcPr>
            <w:tcW w:type="dxa" w:w="38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Независимая проверка и архив</w:t>
            </w:r>
          </w:p>
        </w:tc>
      </w:tr>
      <w:tr>
        <w:trPr>
          <w:cantSplit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MetricID</w:t>
            </w:r>
          </w:p>
        </w:tc>
        <w:tc>
          <w:tcPr>
            <w:tcW w:type="dxa" w:w="3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Показатель стоимости, срока, качества, воздействия</w:t>
            </w:r>
          </w:p>
        </w:tc>
        <w:tc>
          <w:tcPr>
            <w:tcW w:type="dxa" w:w="38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Базовое, плановое и фактическое значение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7.2. Обязательные свойства цифрового паспорта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неизменяемая связь с первичными источниками и версиями;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единая временная шкала решений, согласований, работ, поставок и платежей;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плановые, фактические и прогнозные значения показателей;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связь каждого решения с полномочием, документом и доказательством;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машиночитаемый статус контрольных ворот;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права доступа по ролям, целям и классификации сведений;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архив передачи в эксплуатацию и последующей обратной связи.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7F3F1"/>
        <w:pBdr>
          <w:left w:val="single" w:sz="20" w:space="10" w:color="287C78"/>
        </w:pBdr>
      </w:pPr>
      <w:r>
        <w:rPr>
          <w:rFonts w:ascii="Arial" w:hAnsi="Arial" w:eastAsia="Arial"/>
          <w:b/>
          <w:color w:val="287C78"/>
        </w:rPr>
        <w:t xml:space="preserve">Правило доверия. </w:t>
      </w:r>
      <w:r>
        <w:rPr>
          <w:rFonts w:ascii="Arial" w:hAnsi="Arial" w:eastAsia="Arial"/>
          <w:color w:val="1E2935"/>
        </w:rPr>
        <w:t>В интерфейсе пользователь всегда видит: откуда получено значение, когда оно обновлено, кем подтверждено и какое решение зависит от его достоверности.</w:t>
      </w:r>
    </w:p>
    <w:p>
      <w:pPr>
        <w:pStyle w:val="Heading1"/>
        <w:keepNext/>
      </w:pPr>
      <w:r>
        <w:t>8. Сквозной процесс и контрольные ворота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Контрольные ворота — не дополнительное согласование, а машиночитаемая проверка готовности к следующей стадии. Ворота агрегируют уже существующие решения и показывают недостающие условия, ответственных и последствия перехода.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900"/>
        <w:gridCol w:w="2800"/>
        <w:gridCol w:w="5660"/>
      </w:tblGrid>
      <w:tr>
        <w:trPr>
          <w:cantSplit w:val="true"/>
          <w:tblHeader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Ворота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Решение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Минимальный состав доказательств</w:t>
            </w:r>
          </w:p>
        </w:tc>
      </w:tr>
      <w:tr>
        <w:trPr>
          <w:cantSplit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G0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Потребность подтверждена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Цель, выгодополучатели, территориальная потребность, владелец инициативы</w:t>
            </w:r>
          </w:p>
        </w:tc>
      </w:tr>
      <w:tr>
        <w:trPr>
          <w:cantSplit w:val="true"/>
        </w:trPr>
        <w:tc>
          <w:tcPr>
            <w:tcW w:type="dxa" w:w="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G1</w:t>
            </w:r>
          </w:p>
        </w:tc>
        <w:tc>
          <w:tcPr>
            <w:tcW w:type="dxa" w:w="28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Территория допустима</w:t>
            </w:r>
          </w:p>
        </w:tc>
        <w:tc>
          <w:tcPr>
            <w:tcW w:type="dxa" w:w="5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Права, ограничения, градостроительный потенциал, инженерные условия</w:t>
            </w:r>
          </w:p>
        </w:tc>
      </w:tr>
      <w:tr>
        <w:trPr>
          <w:cantSplit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G2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Инвестиционная модель устойчива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Стоимость жизненного цикла, финансирование, риски, сценарии</w:t>
            </w:r>
          </w:p>
        </w:tc>
      </w:tr>
      <w:tr>
        <w:trPr>
          <w:cantSplit w:val="true"/>
        </w:trPr>
        <w:tc>
          <w:tcPr>
            <w:tcW w:type="dxa" w:w="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G3</w:t>
            </w:r>
          </w:p>
        </w:tc>
        <w:tc>
          <w:tcPr>
            <w:tcW w:type="dxa" w:w="28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Проект готов к экспертизе</w:t>
            </w:r>
          </w:p>
        </w:tc>
        <w:tc>
          <w:tcPr>
            <w:tcW w:type="dxa" w:w="5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Комплектность, ТИМ, применимые требования, коллизии и подписи</w:t>
            </w:r>
          </w:p>
        </w:tc>
      </w:tr>
    </w:tbl>
    <w:p>
      <w:pPr>
        <w:spacing w:after="20"/>
      </w:pPr>
    </w:p>
    <w:p>
      <w:pPr>
        <w:pStyle w:val="Heading3"/>
        <w:keepNext/>
      </w:pPr>
      <w:r>
        <w:t>8.0.1. Ворота G4–G8: реализация и эксплуатация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900"/>
        <w:gridCol w:w="2800"/>
        <w:gridCol w:w="5660"/>
      </w:tblGrid>
      <w:tr>
        <w:trPr>
          <w:cantSplit w:val="true"/>
          <w:tblHeader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Ворота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Решение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Минимальный состав доказательств</w:t>
            </w:r>
          </w:p>
        </w:tc>
      </w:tr>
      <w:tr>
        <w:trPr>
          <w:cantSplit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G4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Экспертиза и разрешения получены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Положительное заключение, устранённые замечания, разрешительные документы</w:t>
            </w:r>
          </w:p>
        </w:tc>
      </w:tr>
      <w:tr>
        <w:trPr>
          <w:cantSplit w:val="true"/>
        </w:trPr>
        <w:tc>
          <w:tcPr>
            <w:tcW w:type="dxa" w:w="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G5</w:t>
            </w:r>
          </w:p>
        </w:tc>
        <w:tc>
          <w:tcPr>
            <w:tcW w:type="dxa" w:w="28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Контракт и ресурсы обеспечены</w:t>
            </w:r>
          </w:p>
        </w:tc>
        <w:tc>
          <w:tcPr>
            <w:tcW w:type="dxa" w:w="5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Закупка, исполнитель, мощности, материалы, график, гарантии</w:t>
            </w:r>
          </w:p>
        </w:tc>
      </w:tr>
      <w:tr>
        <w:trPr>
          <w:cantSplit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G6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Строительство управляемо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Факт работ, качество, безопасность, отклонения и корректирующие действия</w:t>
            </w:r>
          </w:p>
        </w:tc>
      </w:tr>
      <w:tr>
        <w:trPr>
          <w:cantSplit w:val="true"/>
        </w:trPr>
        <w:tc>
          <w:tcPr>
            <w:tcW w:type="dxa" w:w="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G7</w:t>
            </w:r>
          </w:p>
        </w:tc>
        <w:tc>
          <w:tcPr>
            <w:tcW w:type="dxa" w:w="28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Объект готов к вводу</w:t>
            </w:r>
          </w:p>
        </w:tc>
        <w:tc>
          <w:tcPr>
            <w:tcW w:type="dxa" w:w="5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Комплектность, испытания, исполнительная модель, устранение дефектов</w:t>
            </w:r>
          </w:p>
        </w:tc>
      </w:tr>
      <w:tr>
        <w:trPr>
          <w:cantSplit w:val="true"/>
        </w:trPr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  <w:jc w:val="center"/>
            </w:pPr>
            <w:r>
              <w:rPr>
                <w:rFonts w:ascii="Arial" w:hAnsi="Arial" w:eastAsia="Arial"/>
                <w:color w:val="1E2935"/>
                <w:sz w:val="18"/>
              </w:rPr>
              <w:t>G8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Эксплуатационный результат подтверждён</w:t>
            </w:r>
          </w:p>
        </w:tc>
        <w:tc>
          <w:tcPr>
            <w:tcW w:type="dxa" w:w="5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Передача паспорта, фактические показатели, гарантийные обязательства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8.1. Управление изменениями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Любое существенное изменение стоимости, срока, проектного решения, состава исполнителей или воздействия регистрируется как событие. Портал рассчитывает затронутые требования, документы, контракты, показатели и контрольные ворота, но не утверждает изменение самостоятельно.</w:t>
      </w:r>
    </w:p>
    <w:p>
      <w:pPr>
        <w:keepLines/>
        <w:widowControl/>
        <w:numPr>
          <w:ilvl w:val="0"/>
          <w:numId w:val="15"/>
        </w:numPr>
        <w:spacing w:after="120" w:line="280" w:lineRule="auto"/>
      </w:pPr>
      <w:r>
        <w:rPr>
          <w:rFonts w:ascii="Arial" w:hAnsi="Arial" w:eastAsia="Arial"/>
          <w:color w:val="1E2935"/>
        </w:rPr>
        <w:t>инициатор описывает причину и ожидаемый эффект;</w:t>
      </w:r>
    </w:p>
    <w:p>
      <w:pPr>
        <w:keepLines/>
        <w:widowControl/>
        <w:numPr>
          <w:ilvl w:val="0"/>
          <w:numId w:val="15"/>
        </w:numPr>
        <w:spacing w:after="120" w:line="280" w:lineRule="auto"/>
      </w:pPr>
      <w:r>
        <w:rPr>
          <w:rFonts w:ascii="Arial" w:hAnsi="Arial" w:eastAsia="Arial"/>
          <w:color w:val="1E2935"/>
        </w:rPr>
        <w:t>аналитика показывает затронутые связи и сценарии;</w:t>
      </w:r>
    </w:p>
    <w:p>
      <w:pPr>
        <w:keepLines/>
        <w:widowControl/>
        <w:numPr>
          <w:ilvl w:val="0"/>
          <w:numId w:val="15"/>
        </w:numPr>
        <w:spacing w:after="120" w:line="280" w:lineRule="auto"/>
      </w:pPr>
      <w:r>
        <w:rPr>
          <w:rFonts w:ascii="Arial" w:hAnsi="Arial" w:eastAsia="Arial"/>
          <w:color w:val="1E2935"/>
        </w:rPr>
        <w:t>уполномоченные лица принимают решение и подписывают его;</w:t>
      </w:r>
    </w:p>
    <w:p>
      <w:pPr>
        <w:keepLines/>
        <w:widowControl/>
        <w:numPr>
          <w:ilvl w:val="0"/>
          <w:numId w:val="15"/>
        </w:numPr>
        <w:spacing w:after="120" w:line="280" w:lineRule="auto"/>
      </w:pPr>
      <w:r>
        <w:rPr>
          <w:rFonts w:ascii="Arial" w:hAnsi="Arial" w:eastAsia="Arial"/>
          <w:color w:val="1E2935"/>
        </w:rPr>
        <w:t>новая версия становится действующей, предыдущая сохраняется;</w:t>
      </w:r>
    </w:p>
    <w:p>
      <w:pPr>
        <w:keepLines/>
        <w:widowControl/>
        <w:numPr>
          <w:ilvl w:val="0"/>
          <w:numId w:val="15"/>
        </w:numPr>
        <w:spacing w:after="120" w:line="280" w:lineRule="auto"/>
      </w:pPr>
      <w:r>
        <w:rPr>
          <w:rFonts w:ascii="Arial" w:hAnsi="Arial" w:eastAsia="Arial"/>
          <w:color w:val="1E2935"/>
        </w:rPr>
        <w:t>событие направляется во все подключённые системы по согласованным контрактам.</w:t>
      </w:r>
    </w:p>
    <w:p>
      <w:pPr>
        <w:pStyle w:val="Heading1"/>
        <w:keepNext/>
      </w:pPr>
      <w:r>
        <w:t>9. Аналитика, искусственный интеллект и цифровой двойник</w:t>
      </w:r>
    </w:p>
    <w:p>
      <w:pPr>
        <w:pStyle w:val="Heading2"/>
        <w:keepNext/>
      </w:pPr>
      <w:r>
        <w:t>9.1. Функции интеллектуального ядра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Раннее предупреждение. </w:t>
      </w:r>
      <w:r>
        <w:rPr>
          <w:rFonts w:ascii="Arial" w:hAnsi="Arial" w:eastAsia="Arial"/>
          <w:color w:val="1E2935"/>
        </w:rPr>
        <w:t>Выявление риска срыва графика, роста стоимости, дефицита ресурсов, дефекта или нарушения безопасности.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Сценарный анализ. </w:t>
      </w:r>
      <w:r>
        <w:rPr>
          <w:rFonts w:ascii="Arial" w:hAnsi="Arial" w:eastAsia="Arial"/>
          <w:color w:val="1E2935"/>
        </w:rPr>
        <w:t>Сравнение вариантов территории, проектного решения, поставки, графика и финансирования.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Проверка согласованности. </w:t>
      </w:r>
      <w:r>
        <w:rPr>
          <w:rFonts w:ascii="Arial" w:hAnsi="Arial" w:eastAsia="Arial"/>
          <w:color w:val="1E2935"/>
        </w:rPr>
        <w:t>Поиск расхождений между паспортом, ТИМ, сметой, контрактами, графиком и фактом.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Извлечение требований. </w:t>
      </w:r>
      <w:r>
        <w:rPr>
          <w:rFonts w:ascii="Arial" w:hAnsi="Arial" w:eastAsia="Arial"/>
          <w:color w:val="1E2935"/>
        </w:rPr>
        <w:t>Связывание норм и условий с элементами проекта и доказательствами выполнения.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Повторное использование знаний. </w:t>
      </w:r>
      <w:r>
        <w:rPr>
          <w:rFonts w:ascii="Arial" w:hAnsi="Arial" w:eastAsia="Arial"/>
          <w:color w:val="1E2935"/>
        </w:rPr>
        <w:t>Поиск аналогов, типовых решений, причин отклонений и эксплуатационной обратной связи.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Цифровой двойник. </w:t>
      </w:r>
      <w:r>
        <w:rPr>
          <w:rFonts w:ascii="Arial" w:hAnsi="Arial" w:eastAsia="Arial"/>
          <w:color w:val="1E2935"/>
        </w:rPr>
        <w:t>Объединение пространственной, технической, финансовой, событийной и эксплуатационной модели объекта.</w:t>
      </w:r>
    </w:p>
    <w:p>
      <w:pPr>
        <w:pStyle w:val="Heading2"/>
        <w:keepNext/>
      </w:pPr>
      <w:r>
        <w:t>9.2. Ограничения использования ИИ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никакого непрозрачного автоматического отказа в услуге, закупке, допуске или финансировании;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обязательное указание источников, факторов, уровня уверенности и альтернатив;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разделение проверяемых правил, статистических моделей и генеративных подсказок;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протоколирование запросов, версий моделей и результата, повлиявшего на решение;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право пользователя оспорить сигнал и передать вопрос человеку;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регулярная проверка качества, смещений, безопасности и применимости моделей.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8F0F7"/>
        <w:pBdr>
          <w:left w:val="single" w:sz="20" w:space="10" w:color="1E5F95"/>
        </w:pBdr>
      </w:pPr>
      <w:r>
        <w:rPr>
          <w:rFonts w:ascii="Arial" w:hAnsi="Arial" w:eastAsia="Arial"/>
          <w:b/>
          <w:color w:val="1E5F95"/>
        </w:rPr>
        <w:t xml:space="preserve">Принцип. </w:t>
      </w:r>
      <w:r>
        <w:rPr>
          <w:rFonts w:ascii="Arial" w:hAnsi="Arial" w:eastAsia="Arial"/>
          <w:color w:val="1E2935"/>
        </w:rPr>
        <w:t>ЭКВИЛИБРИУМ предупреждает и объясняет; уполномоченный человек решает и несёт ответственность.</w:t>
      </w:r>
    </w:p>
    <w:p>
      <w:pPr>
        <w:pStyle w:val="Heading1"/>
        <w:keepNext/>
      </w:pPr>
      <w:r>
        <w:t>10. Управление, безопасность и правовой контур</w:t>
      </w:r>
    </w:p>
    <w:p>
      <w:pPr>
        <w:pStyle w:val="Heading2"/>
        <w:keepNext/>
      </w:pPr>
      <w:r>
        <w:t>10.1. Организационная модель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450"/>
        <w:gridCol w:w="6910"/>
      </w:tblGrid>
      <w:tr>
        <w:trPr>
          <w:cantSplit w:val="true"/>
          <w:tblHeader w:val="true"/>
        </w:trP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6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Полномочие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Межведомственный совет</w:t>
            </w:r>
          </w:p>
        </w:tc>
        <w:tc>
          <w:tcPr>
            <w:tcW w:type="dxa" w:w="6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Цели, приоритеты, границы полномочий, пилоты и масштабирование</w:t>
            </w:r>
          </w:p>
        </w:tc>
      </w:tr>
      <w:tr>
        <w:trPr>
          <w:cantSplit w:val="true"/>
        </w:trPr>
        <w:tc>
          <w:tcPr>
            <w:tcW w:type="dxa" w:w="2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Федеральный координатор</w:t>
            </w:r>
          </w:p>
        </w:tc>
        <w:tc>
          <w:tcPr>
            <w:tcW w:type="dxa" w:w="69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Политика, нормативное обеспечение и взаимодействие владельцев систем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Оператор портала</w:t>
            </w:r>
          </w:p>
        </w:tc>
        <w:tc>
          <w:tcPr>
            <w:tcW w:type="dxa" w:w="6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Эксплуатация, развитие, SLA, интеграции, поддержка и кибербезопасность</w:t>
            </w:r>
          </w:p>
        </w:tc>
      </w:tr>
      <w:tr>
        <w:trPr>
          <w:cantSplit w:val="true"/>
        </w:trPr>
        <w:tc>
          <w:tcPr>
            <w:tcW w:type="dxa" w:w="2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Владельцы данных</w:t>
            </w:r>
          </w:p>
        </w:tc>
        <w:tc>
          <w:tcPr>
            <w:tcW w:type="dxa" w:w="69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Качество, правовой режим, интерфейсы, версии и исправление первичных сведений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Региональные центры</w:t>
            </w:r>
          </w:p>
        </w:tc>
        <w:tc>
          <w:tcPr>
            <w:tcW w:type="dxa" w:w="6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Локальные процессы, интеграции, обучение и сопровождение пользователей</w:t>
            </w:r>
          </w:p>
        </w:tc>
      </w:tr>
      <w:tr>
        <w:trPr>
          <w:cantSplit w:val="true"/>
        </w:trPr>
        <w:tc>
          <w:tcPr>
            <w:tcW w:type="dxa" w:w="2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Научно-технический совет</w:t>
            </w:r>
          </w:p>
        </w:tc>
        <w:tc>
          <w:tcPr>
            <w:tcW w:type="dxa" w:w="69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Архитектура, ТИМ, ИИ, стандарты данных и технологическая независимость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Независимая верификация</w:t>
            </w:r>
          </w:p>
        </w:tc>
        <w:tc>
          <w:tcPr>
            <w:tcW w:type="dxa" w:w="6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Проверка результата, KPI, воздействия, безопасности и достоверности доказательств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10.2. Безопасность и устойчивость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Суверенная архитектура. </w:t>
      </w:r>
      <w:r>
        <w:rPr>
          <w:rFonts w:ascii="Arial" w:hAnsi="Arial" w:eastAsia="Arial"/>
          <w:color w:val="1E2935"/>
        </w:rPr>
        <w:t>Размещение и обработка в соответствии с категорией данных, российскими требованиями и планом технологической независимости.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Нулевое доверие. </w:t>
      </w:r>
      <w:r>
        <w:rPr>
          <w:rFonts w:ascii="Arial" w:hAnsi="Arial" w:eastAsia="Arial"/>
          <w:color w:val="1E2935"/>
        </w:rPr>
        <w:t>Проверка пользователя, устройства, роли, контекста и минимально необходимых полномочий.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Сегментация. </w:t>
      </w:r>
      <w:r>
        <w:rPr>
          <w:rFonts w:ascii="Arial" w:hAnsi="Arial" w:eastAsia="Arial"/>
          <w:color w:val="1E2935"/>
        </w:rPr>
        <w:t>Разделение открытого, служебного, коммерческого, персонального и критического контуров.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Неизменяемый аудит. </w:t>
      </w:r>
      <w:r>
        <w:rPr>
          <w:rFonts w:ascii="Arial" w:hAnsi="Arial" w:eastAsia="Arial"/>
          <w:color w:val="1E2935"/>
        </w:rPr>
        <w:t>Фиксация доступа, изменения, подписи, источника и решения с защитой от незаметного удаления.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Устойчивость. </w:t>
      </w:r>
      <w:r>
        <w:rPr>
          <w:rFonts w:ascii="Arial" w:hAnsi="Arial" w:eastAsia="Arial"/>
          <w:color w:val="1E2935"/>
        </w:rPr>
        <w:t>Резервирование, восстановление, автономная работа критических процессов и регулярные учения.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Безопасная разработка. </w:t>
      </w:r>
      <w:r>
        <w:rPr>
          <w:rFonts w:ascii="Arial" w:hAnsi="Arial" w:eastAsia="Arial"/>
          <w:color w:val="1E2935"/>
        </w:rPr>
        <w:t>Моделирование угроз, анализ зависимостей, тестирование, управление уязвимостями и цепочкой поставки ПО.</w:t>
      </w:r>
    </w:p>
    <w:p>
      <w:pPr>
        <w:pStyle w:val="Heading2"/>
        <w:keepNext/>
      </w:pPr>
      <w:r>
        <w:t>10.3. Правовой периметр этапа 0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До пилота выполняется правовая карта: статус оператора, основания обмена данными, состав цифрового паспорта, электронная подпись и доверенности, персональные и коммерческие данные, режим информационных моделей, закупки, контроль, архивное хранение, ответственность за качество и порядок оспаривания аналитических сигналов.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Начальный нормативный периметр включает Градостроительный кодекс РФ, законодательство об информации и защите данных, электронной подписи, государственных услугах, контрактной системе, закупках отдельных видов юридических лиц, долевом строительстве, технической безопасности зданий и сооружений, критической информационной инфраструктуре и архивном деле. Актуальные редакции и применимость подтверждаются юридической рабочей группой перед запуском.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FBF3DF"/>
        <w:pBdr>
          <w:left w:val="single" w:sz="20" w:space="10" w:color="C68C24"/>
        </w:pBdr>
      </w:pPr>
      <w:r>
        <w:rPr>
          <w:rFonts w:ascii="Arial" w:hAnsi="Arial" w:eastAsia="Arial"/>
          <w:b/>
          <w:color w:val="C68C24"/>
        </w:rPr>
        <w:t xml:space="preserve">Нормативный подход. </w:t>
      </w:r>
      <w:r>
        <w:rPr>
          <w:rFonts w:ascii="Arial" w:hAnsi="Arial" w:eastAsia="Arial"/>
          <w:color w:val="1E2935"/>
        </w:rPr>
        <w:t>Сначала обеспечить совместимость и юридическую прослеживаемость в пределах действующих полномочий; только затем предлагать точечные изменения законодательства по итогам пилота.</w:t>
      </w:r>
    </w:p>
    <w:p>
      <w:pPr>
        <w:pStyle w:val="Heading1"/>
        <w:keepNext/>
      </w:pPr>
      <w:r>
        <w:t>11. Экономическая модель, KPI и эффекты</w:t>
      </w:r>
    </w:p>
    <w:p>
      <w:pPr>
        <w:pStyle w:val="Heading2"/>
        <w:keepNext/>
      </w:pPr>
      <w:r>
        <w:t>11.1. Принципы финансирования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базовые государственные услуги и обязательные функции финансируются как публичная цифровая инфраструктура;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интеграции действующих государственных систем включаются в согласованные ведомственные планы развития;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пилоты могут финансироваться через федеральные и региональные программы, институты развития и проектные соглашения;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расширенные B2B-сервисы допускаются только в отдельном правовом и тарифном контуре без ограничения доступа к публичным функциям;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ECO-PPA применяется как механизм согласования ресурсов, рисков, обязательств и измеримого эффекта проекта, а не как замена бюджетным и закупочным правилам.</w:t>
      </w:r>
    </w:p>
    <w:p>
      <w:pPr>
        <w:pStyle w:val="Heading2"/>
        <w:keepNext/>
      </w:pPr>
      <w:r>
        <w:t>11.2. Система показателей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050"/>
        <w:gridCol w:w="4840"/>
        <w:gridCol w:w="2470"/>
      </w:tblGrid>
      <w:tr>
        <w:trPr>
          <w:cantSplit w:val="true"/>
          <w:tblHeader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Метрика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Пилотный ориентир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Паспорт объекта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Доля пилотных объектов с полным паспортом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100%</w:t>
            </w:r>
          </w:p>
        </w:tc>
      </w:tr>
      <w:tr>
        <w:trPr>
          <w:cantSplit w:val="true"/>
        </w:trPr>
        <w:tc>
          <w:tcPr>
            <w:tcW w:type="dxa" w:w="20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Повторное использование</w:t>
            </w:r>
          </w:p>
        </w:tc>
        <w:tc>
          <w:tcPr>
            <w:tcW w:type="dxa" w:w="48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Доля полей, полученных из доверенных источников без ручного ввода</w:t>
            </w:r>
          </w:p>
        </w:tc>
        <w:tc>
          <w:tcPr>
            <w:tcW w:type="dxa" w:w="247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 менее 70%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Прослеживаемость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Доля существенных событий и решений с источником и доказательством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 менее 90%</w:t>
            </w:r>
          </w:p>
        </w:tc>
      </w:tr>
      <w:tr>
        <w:trPr>
          <w:cantSplit w:val="true"/>
        </w:trPr>
        <w:tc>
          <w:tcPr>
            <w:tcW w:type="dxa" w:w="20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Комплектность ворот</w:t>
            </w:r>
          </w:p>
        </w:tc>
        <w:tc>
          <w:tcPr>
            <w:tcW w:type="dxa" w:w="48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Доля переходов без последующего возврата из-за отсутствующих сведений</w:t>
            </w:r>
          </w:p>
        </w:tc>
        <w:tc>
          <w:tcPr>
            <w:tcW w:type="dxa" w:w="247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рост к базовой линии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Срок координации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Время межсистемного и межведомственного согласования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снижение не менее чем на 20%</w:t>
            </w:r>
          </w:p>
        </w:tc>
      </w:tr>
      <w:tr>
        <w:trPr>
          <w:cantSplit w:val="true"/>
        </w:trPr>
        <w:tc>
          <w:tcPr>
            <w:tcW w:type="dxa" w:w="20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Отклонение срока</w:t>
            </w:r>
          </w:p>
        </w:tc>
        <w:tc>
          <w:tcPr>
            <w:tcW w:type="dxa" w:w="48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Разница планового и прогнозного завершения</w:t>
            </w:r>
          </w:p>
        </w:tc>
        <w:tc>
          <w:tcPr>
            <w:tcW w:type="dxa" w:w="247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раннее выявление до критического пути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Отклонение стоимости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Необоснованное изменение стоимости относительно утверждённой базы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снижение к базовой линии</w:t>
            </w:r>
          </w:p>
        </w:tc>
      </w:tr>
      <w:tr>
        <w:trPr>
          <w:cantSplit w:val="true"/>
        </w:trPr>
        <w:tc>
          <w:tcPr>
            <w:tcW w:type="dxa" w:w="20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Качество</w:t>
            </w:r>
          </w:p>
        </w:tc>
        <w:tc>
          <w:tcPr>
            <w:tcW w:type="dxa" w:w="48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Дефекты, повторные работы и сроки устранения</w:t>
            </w:r>
          </w:p>
        </w:tc>
        <w:tc>
          <w:tcPr>
            <w:tcW w:type="dxa" w:w="247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снижение к базовой линии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Безопасность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Критические нарушения и время реакции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нулевая терпимость / сокращение реакции</w:t>
            </w:r>
          </w:p>
        </w:tc>
      </w:tr>
      <w:tr>
        <w:trPr>
          <w:cantSplit w:val="true"/>
        </w:trPr>
        <w:tc>
          <w:tcPr>
            <w:tcW w:type="dxa" w:w="20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Поставки</w:t>
            </w:r>
          </w:p>
        </w:tc>
        <w:tc>
          <w:tcPr>
            <w:tcW w:type="dxa" w:w="48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Доля критических ресурсов с подтверждённым происхождением и статусом</w:t>
            </w:r>
          </w:p>
        </w:tc>
        <w:tc>
          <w:tcPr>
            <w:tcW w:type="dxa" w:w="247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100% в пилотном перечне</w:t>
            </w:r>
          </w:p>
        </w:tc>
      </w:tr>
      <w:tr>
        <w:trPr>
          <w:cantSplit w:val="true"/>
        </w:trPr>
        <w:tc>
          <w:tcPr>
            <w:tcW w:type="dxa" w:w="20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Эксплуатационная готовность</w:t>
            </w:r>
          </w:p>
        </w:tc>
        <w:tc>
          <w:tcPr>
            <w:tcW w:type="dxa" w:w="4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Полнота передачи паспорта, регламентов и гарантий</w:t>
            </w:r>
          </w:p>
        </w:tc>
        <w:tc>
          <w:tcPr>
            <w:tcW w:type="dxa" w:w="247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100%</w:t>
            </w:r>
          </w:p>
        </w:tc>
      </w:tr>
      <w:tr>
        <w:trPr>
          <w:cantSplit w:val="true"/>
        </w:trPr>
        <w:tc>
          <w:tcPr>
            <w:tcW w:type="dxa" w:w="20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Пользовательский опыт</w:t>
            </w:r>
          </w:p>
        </w:tc>
        <w:tc>
          <w:tcPr>
            <w:tcW w:type="dxa" w:w="48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Оценка ключевых пользовательских путей</w:t>
            </w:r>
          </w:p>
        </w:tc>
        <w:tc>
          <w:tcPr>
            <w:tcW w:type="dxa" w:w="247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 ниже 4,2 из 5</w:t>
            </w:r>
          </w:p>
        </w:tc>
      </w:tr>
    </w:tbl>
    <w:p>
      <w:pPr>
        <w:spacing w:after="20"/>
      </w:pP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После установления базовых линий ядро KPI расширяется до отраслевого реестра показателей, совместимого с ESG-IR 1.0 и системой из 260 показателей развития человека и территории. Показатели группируются по 19 модулям, жизненным стадиям и уровням принятия решений.</w:t>
      </w:r>
    </w:p>
    <w:p>
      <w:pPr>
        <w:pStyle w:val="Heading2"/>
        <w:keepNext/>
      </w:pPr>
      <w:r>
        <w:t>11.3. Ожидаемые эффекты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Для государства. </w:t>
      </w:r>
      <w:r>
        <w:rPr>
          <w:rFonts w:ascii="Arial" w:hAnsi="Arial" w:eastAsia="Arial"/>
          <w:color w:val="1E2935"/>
        </w:rPr>
        <w:t>Прослеживаемое исполнение, сопоставимость проектов, раннее выявление системных рисков и меньше дублирующей отчётности.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Для регионов. </w:t>
      </w:r>
      <w:r>
        <w:rPr>
          <w:rFonts w:ascii="Arial" w:hAnsi="Arial" w:eastAsia="Arial"/>
          <w:color w:val="1E2935"/>
        </w:rPr>
        <w:t>Единый набор интеграций и сервисов при сохранении региональной специфики и данных.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Для бизнеса. </w:t>
      </w:r>
      <w:r>
        <w:rPr>
          <w:rFonts w:ascii="Arial" w:hAnsi="Arial" w:eastAsia="Arial"/>
          <w:color w:val="1E2935"/>
        </w:rPr>
        <w:t>Предсказуемый путь проекта, повторное использование сведений, прозрачные требования, доступ к кооперации и ресурсам.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Для граждан. </w:t>
      </w:r>
      <w:r>
        <w:rPr>
          <w:rFonts w:ascii="Arial" w:hAnsi="Arial" w:eastAsia="Arial"/>
          <w:color w:val="1E2935"/>
        </w:rPr>
        <w:t>Понятный статус, участие в формировании потребности, доступ к результатам и обратной связи.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b/>
          <w:color w:val="1E2935"/>
        </w:rPr>
        <w:t xml:space="preserve">Для отрасли. </w:t>
      </w:r>
      <w:r>
        <w:rPr>
          <w:rFonts w:ascii="Arial" w:hAnsi="Arial" w:eastAsia="Arial"/>
          <w:color w:val="1E2935"/>
        </w:rPr>
        <w:t>Накопление знаний полного жизненного цикла, повышение качества решений и развитие отечественных технологий.</w:t>
      </w:r>
    </w:p>
    <w:p>
      <w:pPr>
        <w:pStyle w:val="Heading1"/>
        <w:keepNext/>
      </w:pPr>
      <w:r>
        <w:t>12. MVP, пилот и дорожная карта</w:t>
      </w:r>
    </w:p>
    <w:p>
      <w:pPr>
        <w:pStyle w:val="Heading2"/>
        <w:keepNext/>
      </w:pPr>
      <w:r>
        <w:t>12.1. Состав MVP</w:t>
      </w:r>
    </w:p>
    <w:p>
      <w:pPr>
        <w:keepNext w:val="0"/>
        <w:keepLines/>
        <w:widowControl/>
        <w:spacing w:before="0" w:after="120" w:line="264" w:lineRule="auto"/>
      </w:pPr>
      <w:r>
        <w:rPr>
          <w:rFonts w:ascii="Arial" w:hAnsi="Arial" w:eastAsia="Arial"/>
          <w:color w:val="1E2935"/>
        </w:rPr>
        <w:t>MVP подтверждает архитектуру на реальных процессах и не пытается сразу охватить все 19 модулей. Минимальный продукт включает: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единый вход через ЕСИА и ролевую модель;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цифровой паспорт и ObjectID;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пространственную карточку территории;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журнал событий, версий, решений и доказательств;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пять ключевых интеграций: Госуслуги, Стройкомплекс.РФ/ГИСОГД, НСПД/ЕГРН, ЕГРЗ, ФГИС ЦС;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контрольные ворота G0–G4 и прототип G5–G8;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базовые дашборды срока, стоимости, комплектности и риска;</w:t>
      </w:r>
    </w:p>
    <w:p>
      <w:pPr>
        <w:keepLines/>
        <w:widowControl/>
        <w:numPr>
          <w:ilvl w:val="0"/>
          <w:numId w:val="10"/>
        </w:numPr>
        <w:spacing w:after="120" w:line="280" w:lineRule="auto"/>
      </w:pPr>
      <w:r>
        <w:rPr>
          <w:rFonts w:ascii="Arial" w:hAnsi="Arial" w:eastAsia="Arial"/>
          <w:color w:val="1E2935"/>
        </w:rPr>
        <w:t>архив верификации и механизм обратной связи.</w:t>
      </w:r>
    </w:p>
    <w:p>
      <w:pPr>
        <w:pStyle w:val="Heading2"/>
        <w:keepNext/>
      </w:pPr>
      <w:r>
        <w:t>12.2. План первых 90 дней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1450"/>
        <w:gridCol w:w="2450"/>
        <w:gridCol w:w="5460"/>
      </w:tblGrid>
      <w:tr>
        <w:trPr>
          <w:cantSplit w:val="true"/>
          <w:tblHeader w:val="true"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Фокус</w:t>
            </w:r>
          </w:p>
        </w:tc>
        <w:tc>
          <w:tcPr>
            <w:tcW w:type="dxa" w:w="5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Результат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Дни 1–15</w:t>
            </w:r>
          </w:p>
        </w:tc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Мандат и границы</w:t>
            </w:r>
          </w:p>
        </w:tc>
        <w:tc>
          <w:tcPr>
            <w:tcW w:type="dxa" w:w="5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Рабочая группа, карта полномочий, владельцы процессов, выбор пилотов</w:t>
            </w:r>
          </w:p>
        </w:tc>
      </w:tr>
      <w:tr>
        <w:trPr>
          <w:cantSplit w:val="true"/>
        </w:trPr>
        <w:tc>
          <w:tcPr>
            <w:tcW w:type="dxa" w:w="1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Дни 16–30</w:t>
            </w:r>
          </w:p>
        </w:tc>
        <w:tc>
          <w:tcPr>
            <w:tcW w:type="dxa" w:w="2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Архитектура</w:t>
            </w:r>
          </w:p>
        </w:tc>
        <w:tc>
          <w:tcPr>
            <w:tcW w:type="dxa" w:w="54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Цифровой паспорт v0.1, карта данных, интеграционные контракты, модель угроз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Дни 31–60</w:t>
            </w:r>
          </w:p>
        </w:tc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Прототип</w:t>
            </w:r>
          </w:p>
        </w:tc>
        <w:tc>
          <w:tcPr>
            <w:tcW w:type="dxa" w:w="5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Единый вход, паспорт, журнал событий, карта объекта, первые интеграции и ворота</w:t>
            </w:r>
          </w:p>
        </w:tc>
      </w:tr>
      <w:tr>
        <w:trPr>
          <w:cantSplit w:val="true"/>
        </w:trPr>
        <w:tc>
          <w:tcPr>
            <w:tcW w:type="dxa" w:w="1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Дни 61–75</w:t>
            </w:r>
          </w:p>
        </w:tc>
        <w:tc>
          <w:tcPr>
            <w:tcW w:type="dxa" w:w="24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Испытание</w:t>
            </w:r>
          </w:p>
        </w:tc>
        <w:tc>
          <w:tcPr>
            <w:tcW w:type="dxa" w:w="54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Сценарии пользователей, нагрузка, безопасность, качество данных, обучение</w:t>
            </w:r>
          </w:p>
        </w:tc>
      </w:tr>
      <w:tr>
        <w:trPr>
          <w:cantSplit w:val="true"/>
        </w:trPr>
        <w:tc>
          <w:tcPr>
            <w:tcW w:type="dxa" w:w="1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Дни 76–90</w:t>
            </w:r>
          </w:p>
        </w:tc>
        <w:tc>
          <w:tcPr>
            <w:tcW w:type="dxa" w:w="24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Пилот</w:t>
            </w:r>
          </w:p>
        </w:tc>
        <w:tc>
          <w:tcPr>
            <w:tcW w:type="dxa" w:w="54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Три объекта, измерение базовой линии, независимая проверка и решение о фазе 2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12.3. Пилотные типы объектов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1900"/>
        <w:gridCol w:w="4240"/>
        <w:gridCol w:w="3220"/>
      </w:tblGrid>
      <w:tr>
        <w:trPr>
          <w:cantSplit w:val="true"/>
          <w:tblHeader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42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Что проверяем</w:t>
            </w:r>
          </w:p>
        </w:tc>
        <w:tc>
          <w:tcPr>
            <w:tcW w:type="dxa" w:w="3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Рекомендуемый масштаб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Жильё</w:t>
            </w:r>
          </w:p>
        </w:tc>
        <w:tc>
          <w:tcPr>
            <w:tcW w:type="dxa" w:w="42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Проверить связку земли, ЕИСЖС, разрешений, финансирования, строительства и ввода</w:t>
            </w:r>
          </w:p>
        </w:tc>
        <w:tc>
          <w:tcPr>
            <w:tcW w:type="dxa" w:w="3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Один объект комплексной жилой застройки</w:t>
            </w:r>
          </w:p>
        </w:tc>
      </w:tr>
      <w:tr>
        <w:trPr>
          <w:cantSplit w:val="true"/>
        </w:trPr>
        <w:tc>
          <w:tcPr>
            <w:tcW w:type="dxa" w:w="1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Социальная инфраструктура</w:t>
            </w:r>
          </w:p>
        </w:tc>
        <w:tc>
          <w:tcPr>
            <w:tcW w:type="dxa" w:w="424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Проверить бюджет, закупку, типовое решение, контроль и передачу в эксплуатацию</w:t>
            </w:r>
          </w:p>
        </w:tc>
        <w:tc>
          <w:tcPr>
            <w:tcW w:type="dxa" w:w="322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Школа, поликлиника или спортивный объект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Промышленно-инфраструктурный объект</w:t>
            </w:r>
          </w:p>
        </w:tc>
        <w:tc>
          <w:tcPr>
            <w:tcW w:type="dxa" w:w="42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Проверить кооперацию, материалы, логистику, безопасность и ECO-PPA</w:t>
            </w:r>
          </w:p>
        </w:tc>
        <w:tc>
          <w:tcPr>
            <w:tcW w:type="dxa" w:w="3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Кандидат: кластер Сызрань–Рамено–Смолькино, после отдельного решения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12.4. Дорожная карта 2026–2030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1350"/>
        <w:gridCol w:w="2650"/>
        <w:gridCol w:w="5360"/>
      </w:tblGrid>
      <w:tr>
        <w:trPr>
          <w:cantSplit w:val="true"/>
          <w:tblHeader w:val="true"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5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Ключевой результат</w:t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2026</w:t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Проектирование и пилот</w:t>
            </w:r>
          </w:p>
        </w:tc>
        <w:tc>
          <w:tcPr>
            <w:tcW w:type="dxa" w:w="5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Стандарт паспорта, MVP, три типа объектов, оценка правовых и технологических разрывов</w:t>
            </w:r>
          </w:p>
        </w:tc>
      </w:tr>
      <w:tr>
        <w:trPr>
          <w:cantSplit w:val="true"/>
        </w:trPr>
        <w:tc>
          <w:tcPr>
            <w:tcW w:type="dxa" w:w="1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2027</w:t>
            </w:r>
          </w:p>
        </w:tc>
        <w:tc>
          <w:tcPr>
            <w:tcW w:type="dxa" w:w="26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Региональное тиражирование</w:t>
            </w:r>
          </w:p>
        </w:tc>
        <w:tc>
          <w:tcPr>
            <w:tcW w:type="dxa" w:w="53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Подключение выбранных субъектов, типовые интеграции, обучение и сервисная модель</w:t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2028</w:t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Федеральная масштабируемость</w:t>
            </w:r>
          </w:p>
        </w:tc>
        <w:tc>
          <w:tcPr>
            <w:tcW w:type="dxa" w:w="5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Расширение модулей, жизненных ситуаций, отраслевых реестров и независимой верификации</w:t>
            </w:r>
          </w:p>
        </w:tc>
      </w:tr>
      <w:tr>
        <w:trPr>
          <w:cantSplit w:val="true"/>
        </w:trPr>
        <w:tc>
          <w:tcPr>
            <w:tcW w:type="dxa" w:w="1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2029</w:t>
            </w:r>
          </w:p>
        </w:tc>
        <w:tc>
          <w:tcPr>
            <w:tcW w:type="dxa" w:w="26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Экономика кооперации</w:t>
            </w:r>
          </w:p>
        </w:tc>
        <w:tc>
          <w:tcPr>
            <w:tcW w:type="dxa" w:w="53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Ресурсные балансы, производственные мощности, логистика, страхование и сервисы жизненного цикла</w:t>
            </w:r>
          </w:p>
        </w:tc>
      </w:tr>
      <w:tr>
        <w:trPr>
          <w:cantSplit w:val="true"/>
        </w:trPr>
        <w:tc>
          <w:tcPr>
            <w:tcW w:type="dxa" w:w="1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2030</w:t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Предиктивное управление</w:t>
            </w:r>
          </w:p>
        </w:tc>
        <w:tc>
          <w:tcPr>
            <w:tcW w:type="dxa" w:w="5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Цифровые двойники территорий, раннее предупреждение и обратная связь в нормы и программы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13. Риски и решения, требуемые для старта</w:t>
      </w:r>
    </w:p>
    <w:p>
      <w:pPr>
        <w:pStyle w:val="Heading2"/>
        <w:keepNext/>
      </w:pPr>
      <w:r>
        <w:t>13.1. Реестр ключевых рисков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1900"/>
        <w:gridCol w:w="3260"/>
        <w:gridCol w:w="4200"/>
      </w:tblGrid>
      <w:tr>
        <w:trPr>
          <w:cantSplit w:val="true"/>
          <w:tblHeader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3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Проявление</w:t>
            </w:r>
          </w:p>
        </w:tc>
        <w:tc>
          <w:tcPr>
            <w:tcW w:type="dxa" w:w="4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Управление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Дублирование систем</w:t>
            </w:r>
          </w:p>
        </w:tc>
        <w:tc>
          <w:tcPr>
            <w:tcW w:type="dxa" w:w="3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Создание ещё одной базы и кабинета</w:t>
            </w:r>
          </w:p>
        </w:tc>
        <w:tc>
          <w:tcPr>
            <w:tcW w:type="dxa" w:w="4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Инвентаризация, архитектурный запрет на необоснованную репликацию</w:t>
            </w:r>
          </w:p>
        </w:tc>
      </w:tr>
      <w:tr>
        <w:trPr>
          <w:cantSplit w:val="true"/>
        </w:trPr>
        <w:tc>
          <w:tcPr>
            <w:tcW w:type="dxa" w:w="1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Размывание полномочий</w:t>
            </w:r>
          </w:p>
        </w:tc>
        <w:tc>
          <w:tcPr>
            <w:tcW w:type="dxa" w:w="32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Неясно, кто принимает и отвечает</w:t>
            </w:r>
          </w:p>
        </w:tc>
        <w:tc>
          <w:tcPr>
            <w:tcW w:type="dxa" w:w="42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Матрица решений, источников истины и юридических оснований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Низкое качество данных</w:t>
            </w:r>
          </w:p>
        </w:tc>
        <w:tc>
          <w:tcPr>
            <w:tcW w:type="dxa" w:w="3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Расхождения блокируют процесс или искажают аналитику</w:t>
            </w:r>
          </w:p>
        </w:tc>
        <w:tc>
          <w:tcPr>
            <w:tcW w:type="dxa" w:w="4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Владелец поля, контроль качества, процедура исправления в первичном источнике</w:t>
            </w:r>
          </w:p>
        </w:tc>
      </w:tr>
      <w:tr>
        <w:trPr>
          <w:cantSplit w:val="true"/>
        </w:trPr>
        <w:tc>
          <w:tcPr>
            <w:tcW w:type="dxa" w:w="1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Сопротивление участников</w:t>
            </w:r>
          </w:p>
        </w:tc>
        <w:tc>
          <w:tcPr>
            <w:tcW w:type="dxa" w:w="32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Дополнительная нагрузка и обход системы</w:t>
            </w:r>
          </w:p>
        </w:tc>
        <w:tc>
          <w:tcPr>
            <w:tcW w:type="dxa" w:w="42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Уменьшение ручного ввода, совместное проектирование путей, обучение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Зависимость от поставщика</w:t>
            </w:r>
          </w:p>
        </w:tc>
        <w:tc>
          <w:tcPr>
            <w:tcW w:type="dxa" w:w="3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Закрытые форматы и высокая стоимость изменений</w:t>
            </w:r>
          </w:p>
        </w:tc>
        <w:tc>
          <w:tcPr>
            <w:tcW w:type="dxa" w:w="4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Открытые API, экспорт, модульность, владение государством ключевыми спецификациями</w:t>
            </w:r>
          </w:p>
        </w:tc>
      </w:tr>
      <w:tr>
        <w:trPr>
          <w:cantSplit w:val="true"/>
        </w:trPr>
        <w:tc>
          <w:tcPr>
            <w:tcW w:type="dxa" w:w="1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Кибератака</w:t>
            </w:r>
          </w:p>
        </w:tc>
        <w:tc>
          <w:tcPr>
            <w:tcW w:type="dxa" w:w="32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Нарушение доступности, целостности или конфиденциальности</w:t>
            </w:r>
          </w:p>
        </w:tc>
        <w:tc>
          <w:tcPr>
            <w:tcW w:type="dxa" w:w="42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Сегментация, нулевое доверие, резервирование, постоянный мониторинг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Ошибочный сигнал ИИ</w:t>
            </w:r>
          </w:p>
        </w:tc>
        <w:tc>
          <w:tcPr>
            <w:tcW w:type="dxa" w:w="3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Неправильная рекомендация влияет на решение</w:t>
            </w:r>
          </w:p>
        </w:tc>
        <w:tc>
          <w:tcPr>
            <w:tcW w:type="dxa" w:w="4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Человек в контуре, объяснимость, тестирование, журналирование, право оспаривания</w:t>
            </w:r>
          </w:p>
        </w:tc>
      </w:tr>
      <w:tr>
        <w:trPr>
          <w:cantSplit w:val="true"/>
        </w:trPr>
        <w:tc>
          <w:tcPr>
            <w:tcW w:type="dxa" w:w="1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Региональный разрыв</w:t>
            </w:r>
          </w:p>
        </w:tc>
        <w:tc>
          <w:tcPr>
            <w:tcW w:type="dxa" w:w="32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Неравные возможности субъектов</w:t>
            </w:r>
          </w:p>
        </w:tc>
        <w:tc>
          <w:tcPr>
            <w:tcW w:type="dxa" w:w="42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Типовое облачное ядро, адаптеры, финансирование подключения и центр компетенций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Неустойчивое финансирование</w:t>
            </w:r>
          </w:p>
        </w:tc>
        <w:tc>
          <w:tcPr>
            <w:tcW w:type="dxa" w:w="3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Остановка после пилота</w:t>
            </w:r>
          </w:p>
        </w:tc>
        <w:tc>
          <w:tcPr>
            <w:tcW w:type="dxa" w:w="4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План полной стоимости владения и решение о постоянном операторе до фазы 2</w:t>
            </w:r>
          </w:p>
        </w:tc>
      </w:tr>
      <w:tr>
        <w:trPr>
          <w:cantSplit w:val="true"/>
        </w:trPr>
        <w:tc>
          <w:tcPr>
            <w:tcW w:type="dxa" w:w="19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Недоказанный эффект</w:t>
            </w:r>
          </w:p>
        </w:tc>
        <w:tc>
          <w:tcPr>
            <w:tcW w:type="dxa" w:w="32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Масштабирование без результата</w:t>
            </w:r>
          </w:p>
        </w:tc>
        <w:tc>
          <w:tcPr>
            <w:tcW w:type="dxa" w:w="42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Базовая линия, пилотные KPI и независимая верификация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13.2. Семь решений для запуска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Одобрить Единый строительный портал как интеграционный слой жизненного цикла объекта, а не замену действующим системам.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Определить федерального координатора и сформировать межведомственный совет с участием владельцев ключевых систем.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Поручить за 30 дней подготовить карту процессов, данных, полномочий и интеграций.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Утвердить стандарт цифрового паспорта v0.1, ObjectID и событийного журнала для пилота.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Выбрать три пилотных объекта и закрепить владельцев результата, базовые линии и KPI.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Определить оператора MVP, модель безопасности и бюджет полной стоимости пилота.</w:t>
      </w:r>
    </w:p>
    <w:p>
      <w:pPr>
        <w:keepLines/>
        <w:widowControl/>
        <w:numPr>
          <w:ilvl w:val="0"/>
          <w:numId w:val="16"/>
        </w:numPr>
        <w:spacing w:after="40" w:line="245" w:lineRule="auto"/>
      </w:pPr>
      <w:r>
        <w:rPr>
          <w:rFonts w:ascii="Arial" w:hAnsi="Arial" w:eastAsia="Arial"/>
          <w:color w:val="1E2935"/>
          <w:sz w:val="19"/>
        </w:rPr>
        <w:t>Через 90 дней рассмотреть независимый отчёт и принять решение о региональном тиражировании.</w:t>
      </w:r>
    </w:p>
    <w:p>
      <w:pPr>
        <w:keepNext w:val="0"/>
        <w:keepLines/>
        <w:widowControl/>
        <w:spacing w:before="100" w:after="200" w:line="269" w:lineRule="auto"/>
        <w:ind w:left="230" w:right="115"/>
        <w:shd w:val="clear" w:fill="E7F3F1"/>
        <w:pBdr>
          <w:left w:val="single" w:sz="20" w:space="10" w:color="287C78"/>
        </w:pBdr>
      </w:pPr>
      <w:r>
        <w:rPr>
          <w:rFonts w:ascii="Arial" w:hAnsi="Arial" w:eastAsia="Arial"/>
          <w:b/>
          <w:color w:val="287C78"/>
        </w:rPr>
        <w:t xml:space="preserve">Итог. </w:t>
      </w:r>
      <w:r>
        <w:rPr>
          <w:rFonts w:ascii="Arial" w:hAnsi="Arial" w:eastAsia="Arial"/>
          <w:color w:val="1E2935"/>
        </w:rPr>
        <w:t>Единый строительный портал должен сделать объект управляемым сквозь ведомства, организации и стадии — без разрушения действующей цифровой вертикали и без передачи ответственности алгоритму.</w:t>
      </w:r>
    </w:p>
    <w:p>
      <w:pPr>
        <w:keepNext/>
        <w:pageBreakBefore/>
        <w:widowControl/>
        <w:spacing w:before="40" w:after="80" w:line="240" w:lineRule="auto"/>
      </w:pPr>
      <w:r>
        <w:rPr>
          <w:rFonts w:ascii="Arial" w:hAnsi="Arial" w:eastAsia="Arial"/>
          <w:b/>
          <w:color w:val="B6533B"/>
          <w:sz w:val="17"/>
        </w:rPr>
        <w:t>ПРИЛОЖЕНИЕ А</w:t>
      </w:r>
    </w:p>
    <w:p>
      <w:pPr>
        <w:pStyle w:val="Heading1"/>
        <w:keepNext/>
      </w:pPr>
      <w:r>
        <w:t>Матрица ответственности на пилоте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100"/>
        <w:gridCol w:w="2300"/>
        <w:gridCol w:w="2300"/>
        <w:gridCol w:w="2660"/>
      </w:tblGrid>
      <w:tr>
        <w:trPr>
          <w:cantSplit w:val="true"/>
          <w:tblHeader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Решение / процесс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Кто утверждает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Кто исполняет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Кого привлекают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Цели и пилоты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Межведомственный совет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Федеральный координатор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Регионы, заказчики, отрасль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Стандарт паспорта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Федеральный координатор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Архитектурный совет</w:t>
            </w:r>
          </w:p>
        </w:tc>
        <w:tc>
          <w:tcPr>
            <w:tcW w:type="dxa" w:w="2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Владельцы систем, оператор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Интеграции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Владельцы систем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Оператор портала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Региональные ИТ-команды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Качество данных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Владелец первичного источника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Оператор контроля качества</w:t>
            </w:r>
          </w:p>
        </w:tc>
        <w:tc>
          <w:tcPr>
            <w:tcW w:type="dxa" w:w="2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Пользователи и аудит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Пилотный процесс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Владелец объекта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Проектный офис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Все участники жизненного цикла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Аналитические сигналы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Уполномоченное лицо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ЭКВИЛИБРИУМ / ИАЦ</w:t>
            </w:r>
          </w:p>
        </w:tc>
        <w:tc>
          <w:tcPr>
            <w:tcW w:type="dxa" w:w="2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Эксперты и владельцы данных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Безопасность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Оператор и владелец системы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Центр ИБ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Подключённые участники</w:t>
            </w:r>
          </w:p>
        </w:tc>
      </w:tr>
      <w:tr>
        <w:trPr>
          <w:cantSplit w:val="true"/>
        </w:trPr>
        <w:tc>
          <w:tcPr>
            <w:tcW w:type="dxa" w:w="21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Оценка эффекта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Межведомственный совет</w:t>
            </w:r>
          </w:p>
        </w:tc>
        <w:tc>
          <w:tcPr>
            <w:tcW w:type="dxa" w:w="230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Независимый верификатор</w:t>
            </w:r>
          </w:p>
        </w:tc>
        <w:tc>
          <w:tcPr>
            <w:tcW w:type="dxa" w:w="266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7"/>
              </w:rPr>
              <w:t>Проектный офис и пользователи</w:t>
            </w:r>
          </w:p>
        </w:tc>
      </w:tr>
    </w:tbl>
    <w:p>
      <w:pPr>
        <w:spacing w:after="20"/>
      </w:pPr>
    </w:p>
    <w:p>
      <w:pPr>
        <w:keepNext/>
        <w:widowControl/>
        <w:spacing w:before="40" w:after="80" w:line="240" w:lineRule="auto"/>
      </w:pPr>
      <w:r>
        <w:rPr>
          <w:rFonts w:ascii="Arial" w:hAnsi="Arial" w:eastAsia="Arial"/>
          <w:b/>
          <w:color w:val="B6533B"/>
          <w:sz w:val="17"/>
        </w:rPr>
        <w:t>ПРИЛОЖЕНИЕ Б</w:t>
      </w:r>
    </w:p>
    <w:p>
      <w:pPr>
        <w:pStyle w:val="Heading1"/>
        <w:keepNext/>
      </w:pPr>
      <w:r>
        <w:t>Минимальные требования к интеграционному контракту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владелец и правовое основание предоставления данных;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состав, семантика, классификаторы и допустимые значения;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идентификаторы объекта, территории, участника и документа;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режим получения: запрос, событие, пакет или ссылка;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версия, время актуальности и порядок аннулирования;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требования к электронной подписи и доверенности;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SLA, обработка ошибок, повторная доставка и сверка;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категория данных, журнал доступа, хранение и удаление;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ответственность за качество и процедура исправления;</w:t>
      </w:r>
    </w:p>
    <w:p>
      <w:pPr>
        <w:keepLines/>
        <w:widowControl/>
        <w:numPr>
          <w:ilvl w:val="0"/>
          <w:numId w:val="17"/>
        </w:numPr>
        <w:spacing w:after="120" w:line="280" w:lineRule="auto"/>
      </w:pPr>
      <w:r>
        <w:rPr>
          <w:rFonts w:ascii="Arial" w:hAnsi="Arial" w:eastAsia="Arial"/>
          <w:color w:val="1E2935"/>
        </w:rPr>
        <w:t>условия тестирования, мониторинга и изменения интерфейса.</w:t>
      </w:r>
    </w:p>
    <w:p>
      <w:pPr>
        <w:keepNext/>
        <w:widowControl/>
        <w:spacing w:before="40" w:after="80" w:line="240" w:lineRule="auto"/>
      </w:pPr>
      <w:r>
        <w:rPr>
          <w:rFonts w:ascii="Arial" w:hAnsi="Arial" w:eastAsia="Arial"/>
          <w:b/>
          <w:color w:val="B6533B"/>
          <w:sz w:val="17"/>
        </w:rPr>
        <w:t>ПРИЛОЖЕНИЕ В</w:t>
      </w:r>
    </w:p>
    <w:p>
      <w:pPr>
        <w:pStyle w:val="Heading1"/>
        <w:keepNext/>
      </w:pPr>
      <w:r>
        <w:t>Краткий словарь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5" w:space="0" w:color="CFD8E3"/>
          <w:left w:val="single" w:sz="5" w:space="0" w:color="CFD8E3"/>
          <w:bottom w:val="single" w:sz="5" w:space="0" w:color="CFD8E3"/>
          <w:right w:val="single" w:sz="5" w:space="0" w:color="CFD8E3"/>
          <w:insideH w:val="single" w:sz="5" w:space="0" w:color="CFD8E3"/>
          <w:insideV w:val="single" w:sz="5" w:space="0" w:color="CFD8E3"/>
        </w:tblBorders>
      </w:tblPr>
      <w:tblGrid>
        <w:gridCol w:w="2350"/>
        <w:gridCol w:w="7010"/>
      </w:tblGrid>
      <w:tr>
        <w:trPr>
          <w:cantSplit w:val="true"/>
          <w:tblHeader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Термин</w:t>
            </w:r>
          </w:p>
        </w:tc>
        <w:tc>
          <w:tcPr>
            <w:tcW w:type="dxa" w:w="70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32A46" w:val="clear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FFFFFF"/>
                <w:sz w:val="18"/>
              </w:rPr>
              <w:t>Определение</w:t>
            </w:r>
          </w:p>
        </w:tc>
      </w:tr>
      <w:tr>
        <w:trPr>
          <w:cantSplit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Архив доказательств</w:t>
            </w:r>
          </w:p>
        </w:tc>
        <w:tc>
          <w:tcPr>
            <w:tcW w:type="dxa" w:w="70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Связанный набор подписанных документов, событий, измерений и заключений, подтверждающий решение или результат.</w:t>
            </w:r>
          </w:p>
        </w:tc>
      </w:tr>
      <w:tr>
        <w:trPr>
          <w:cantSplit w:val="true"/>
        </w:trPr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Контрольные ворота</w:t>
            </w:r>
          </w:p>
        </w:tc>
        <w:tc>
          <w:tcPr>
            <w:tcW w:type="dxa" w:w="70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Машиночитаемая проверка готовности объекта к следующей стадии на основании существующих решений и доказательств.</w:t>
            </w:r>
          </w:p>
        </w:tc>
      </w:tr>
      <w:tr>
        <w:trPr>
          <w:cantSplit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ObjectID</w:t>
            </w:r>
          </w:p>
        </w:tc>
        <w:tc>
          <w:tcPr>
            <w:tcW w:type="dxa" w:w="70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Неизменяемый идентификатор объекта, связывающий записи разных систем и стадий.</w:t>
            </w:r>
          </w:p>
        </w:tc>
      </w:tr>
      <w:tr>
        <w:trPr>
          <w:cantSplit w:val="true"/>
        </w:trPr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Событийный журнал</w:t>
            </w:r>
          </w:p>
        </w:tc>
        <w:tc>
          <w:tcPr>
            <w:tcW w:type="dxa" w:w="70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Хронология изменений состояния объекта с источником, временем, инициатором и основанием.</w:t>
            </w:r>
          </w:p>
        </w:tc>
      </w:tr>
      <w:tr>
        <w:trPr>
          <w:cantSplit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Источник истины</w:t>
            </w:r>
          </w:p>
        </w:tc>
        <w:tc>
          <w:tcPr>
            <w:tcW w:type="dxa" w:w="70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Система или реестр, которому нормативно или организационно поручено вести конкретные сведения.</w:t>
            </w:r>
          </w:p>
        </w:tc>
      </w:tr>
      <w:tr>
        <w:trPr>
          <w:cantSplit w:val="true"/>
        </w:trPr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Цифровой паспорт</w:t>
            </w:r>
          </w:p>
        </w:tc>
        <w:tc>
          <w:tcPr>
            <w:tcW w:type="dxa" w:w="70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Сквозное представление объекта: идентификаторы, статусы, участники, документы, модели, события, метрики и доказательства.</w:t>
            </w:r>
          </w:p>
        </w:tc>
      </w:tr>
      <w:tr>
        <w:trPr>
          <w:cantSplit w:val="true"/>
        </w:trPr>
        <w:tc>
          <w:tcPr>
            <w:tcW w:type="dxa" w:w="2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Цифровой двойник</w:t>
            </w:r>
          </w:p>
        </w:tc>
        <w:tc>
          <w:tcPr>
            <w:tcW w:type="dxa" w:w="70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Связанная модель текущего и прогнозного состояния объекта или территории для сценарного анализа.</w:t>
            </w:r>
          </w:p>
        </w:tc>
      </w:tr>
      <w:tr>
        <w:trPr>
          <w:cantSplit w:val="true"/>
        </w:trPr>
        <w:tc>
          <w:tcPr>
            <w:tcW w:type="dxa" w:w="235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ECO-PPA</w:t>
            </w:r>
          </w:p>
        </w:tc>
        <w:tc>
          <w:tcPr>
            <w:tcW w:type="dxa" w:w="7010"/>
            <w:shd w:fill="F5F8FB" w:val="clear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keepNext w:val="0"/>
              <w:widowControl/>
              <w:spacing w:before="0" w:after="0" w:line="245" w:lineRule="auto"/>
            </w:pPr>
            <w:r>
              <w:rPr>
                <w:rFonts w:ascii="Arial" w:hAnsi="Arial" w:eastAsia="Arial"/>
                <w:color w:val="1E2935"/>
                <w:sz w:val="18"/>
              </w:rPr>
              <w:t>Проектный механизм согласования ресурсов, обязательств, рисков и измеримого экологического, социального и экономического результата.</w:t>
            </w:r>
          </w:p>
        </w:tc>
      </w:tr>
    </w:tbl>
    <w:p>
      <w:pPr>
        <w:spacing w:after="20"/>
      </w:pPr>
    </w:p>
    <w:p>
      <w:pPr>
        <w:keepNext/>
        <w:widowControl/>
        <w:spacing w:before="40" w:after="80" w:line="240" w:lineRule="auto"/>
      </w:pPr>
      <w:r>
        <w:rPr>
          <w:rFonts w:ascii="Arial" w:hAnsi="Arial" w:eastAsia="Arial"/>
          <w:b/>
          <w:color w:val="B6533B"/>
          <w:sz w:val="17"/>
        </w:rPr>
        <w:t>ПРИЛОЖЕНИЕ Г</w:t>
      </w:r>
    </w:p>
    <w:p>
      <w:pPr>
        <w:pStyle w:val="Heading1"/>
        <w:keepNext/>
      </w:pPr>
      <w:r>
        <w:t>Официальные источники и точки интеграции</w:t>
      </w:r>
    </w:p>
    <w:p>
      <w:pPr>
        <w:keepLines/>
        <w:numPr>
          <w:ilvl w:val="0"/>
          <w:numId w:val="10"/>
        </w:numPr>
        <w:spacing w:after="120" w:line="264" w:lineRule="auto"/>
      </w:pPr>
      <w:hyperlink r:id="rId11">
        <w:r>
          <w:rPr>
            <w:rFonts w:ascii="Arial" w:hAnsi="Arial"/>
            <w:color w:val="1E5F95"/>
            <w:u w:val="single"/>
          </w:rPr>
          <w:t>Правительство РФ — обновлённое стратегическое направление цифровой трансформации строительства и ЖКХ до 2030 года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2">
        <w:r>
          <w:rPr>
            <w:rFonts w:ascii="Arial" w:hAnsi="Arial"/>
            <w:color w:val="1E5F95"/>
            <w:u w:val="single"/>
          </w:rPr>
          <w:t>ЕИС «Стройкомплекс.РФ»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3">
        <w:r>
          <w:rPr>
            <w:rFonts w:ascii="Arial" w:hAnsi="Arial"/>
            <w:color w:val="1E5F95"/>
            <w:u w:val="single"/>
          </w:rPr>
          <w:t>ФГИС ЕЦП НСПД — Росреестр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4">
        <w:r>
          <w:rPr>
            <w:rFonts w:ascii="Arial" w:hAnsi="Arial"/>
            <w:color w:val="1E5F95"/>
            <w:u w:val="single"/>
          </w:rPr>
          <w:t>Портал НСПД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5">
        <w:r>
          <w:rPr>
            <w:rFonts w:ascii="Arial" w:hAnsi="Arial"/>
            <w:color w:val="1E5F95"/>
            <w:u w:val="single"/>
          </w:rPr>
          <w:t>Единый государственный реестр заключений — Главгосэкспертиза России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6">
        <w:r>
          <w:rPr>
            <w:rFonts w:ascii="Arial" w:hAnsi="Arial"/>
            <w:color w:val="1E5F95"/>
            <w:u w:val="single"/>
          </w:rPr>
          <w:t>ФГИС ЦС — Минстрой России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7">
        <w:r>
          <w:rPr>
            <w:rFonts w:ascii="Arial" w:hAnsi="Arial"/>
            <w:color w:val="1E5F95"/>
            <w:u w:val="single"/>
          </w:rPr>
          <w:t>Единая информационная система жилищного строительства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8">
        <w:r>
          <w:rPr>
            <w:rFonts w:ascii="Arial" w:hAnsi="Arial"/>
            <w:color w:val="1E5F95"/>
            <w:u w:val="single"/>
          </w:rPr>
          <w:t>Единая информационная система в сфере закупок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19">
        <w:r>
          <w:rPr>
            <w:rFonts w:ascii="Arial" w:hAnsi="Arial"/>
            <w:color w:val="1E5F95"/>
            <w:u w:val="single"/>
          </w:rPr>
          <w:t>Госуслуги — выдача разрешения на строительство</w:t>
        </w:r>
      </w:hyperlink>
    </w:p>
    <w:p>
      <w:pPr>
        <w:keepLines/>
        <w:numPr>
          <w:ilvl w:val="0"/>
          <w:numId w:val="10"/>
        </w:numPr>
        <w:spacing w:after="120" w:line="264" w:lineRule="auto"/>
      </w:pPr>
      <w:hyperlink r:id="rId20">
        <w:r>
          <w:rPr>
            <w:rFonts w:ascii="Arial" w:hAnsi="Arial"/>
            <w:color w:val="1E5F95"/>
            <w:u w:val="single"/>
          </w:rPr>
          <w:t>Главгосэкспертиза России — цифровая вертикаль строительной отрасли</w:t>
        </w:r>
      </w:hyperlink>
    </w:p>
    <w:p>
      <w:pPr>
        <w:keepNext w:val="0"/>
        <w:keepLines/>
        <w:widowControl/>
        <w:spacing w:before="0" w:after="0" w:line="264" w:lineRule="auto"/>
      </w:pPr>
      <w:r>
        <w:rPr>
          <w:rFonts w:ascii="Arial" w:hAnsi="Arial" w:eastAsia="Arial"/>
          <w:color w:val="1E2935"/>
        </w:rPr>
        <w:t>Источники использованы для определения действующего цифрового периметра. Конкретный состав интеграций, правовые основания и актуальные редакции нормативных актов подлежат подтверждению на этапе 0.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widowControl/>
      <w:spacing w:before="0" w:after="0" w:line="240" w:lineRule="auto"/>
      <w:jc w:val="center"/>
    </w:pPr>
    <w:r/>
    <w:r>
      <w:rPr>
        <w:rFonts w:ascii="Arial" w:hAnsi="Arial" w:eastAsia="Arial"/>
        <w:color w:val="5F6B76"/>
        <w:sz w:val="16"/>
      </w:rPr>
      <w:t xml:space="preserve">Версия 1.0  •  25 августа 2026  •  Страница </w:t>
    </w:r>
    <w:r>
      <w:rPr>
        <w:rFonts w:ascii="Arial" w:hAnsi="Arial" w:eastAsia="Arial"/>
        <w:color w:val="5F6B76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0" w:line="240" w:lineRule="auto"/>
      <w:jc w:val="left"/>
    </w:pPr>
    <w:r/>
    <w:r>
      <w:rPr>
        <w:rFonts w:ascii="Arial" w:hAnsi="Arial" w:eastAsia="Arial"/>
        <w:b/>
        <w:color w:val="5F6B76"/>
        <w:sz w:val="16"/>
      </w:rPr>
      <w:t>ЕДИНЫЙ СТРОИТЕЛЬНЫЙ ПОРТАЛ  |  ПРОЕКТ КОНЦЕПЦИИ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num w:numId="11">
    <w:abstractNumId w:val="10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Arial" w:hAnsi="Arial"/>
      <w:color w:val="1E29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E5F9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1E5F9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132A4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government.ru/news/57980/" TargetMode="External"/><Relationship Id="rId12" Type="http://schemas.openxmlformats.org/officeDocument/2006/relationships/hyperlink" Target="https://&#1089;&#1090;&#1088;&#1086;&#1081;&#1082;&#1086;&#1084;&#1087;&#1083;&#1077;&#1082;&#1089;.&#1088;&#1092;/" TargetMode="External"/><Relationship Id="rId13" Type="http://schemas.openxmlformats.org/officeDocument/2006/relationships/hyperlink" Target="https://rosreestr.gov.ru/activity/gosudarstvennye-programmy/natsionalnaya-sistema-prostranstvennykh-dannykh/fgis-etsp-nspd/" TargetMode="External"/><Relationship Id="rId14" Type="http://schemas.openxmlformats.org/officeDocument/2006/relationships/hyperlink" Target="https://nspd.gov.ru/" TargetMode="External"/><Relationship Id="rId15" Type="http://schemas.openxmlformats.org/officeDocument/2006/relationships/hyperlink" Target="https://gge.ru/services/egrz/" TargetMode="External"/><Relationship Id="rId16" Type="http://schemas.openxmlformats.org/officeDocument/2006/relationships/hyperlink" Target="https://fgiscs.minstroyrf.ru/" TargetMode="External"/><Relationship Id="rId17" Type="http://schemas.openxmlformats.org/officeDocument/2006/relationships/hyperlink" Target="https://&#1085;&#1072;&#1096;.&#1076;&#1086;&#1084;.&#1088;&#1092;/" TargetMode="External"/><Relationship Id="rId18" Type="http://schemas.openxmlformats.org/officeDocument/2006/relationships/hyperlink" Target="https://zakupki.gov.ru/" TargetMode="External"/><Relationship Id="rId19" Type="http://schemas.openxmlformats.org/officeDocument/2006/relationships/hyperlink" Target="https://www.gosuslugi.ru/600168/1" TargetMode="External"/><Relationship Id="rId20" Type="http://schemas.openxmlformats.org/officeDocument/2006/relationships/hyperlink" Target="https://gge.ru/upload/iblock/20c/tetj6mhegpb6si892mfb5w373iom65of/&#1050;.&#1040;.%20&#1052;&#1080;&#1093;&#1072;&#1081;&#1083;&#1080;&#1082;%20&#171;&#1062;&#1080;&#1092;&#1088;&#1086;&#1074;&#1086;&#1077;%20&#1091;&#1087;&#1088;&#1072;&#1074;&#1083;&#1077;&#1085;&#1080;&#1077;%20&#1074;%20&#1089;&#1090;&#1088;&#1086;&#1080;&#1090;&#1077;&#1083;&#1100;&#1089;&#1090;&#1074;&#1077;&#187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строительный портал — проект концепции</dc:title>
  <dc:subject>Государственная цифровая экосистема управления жизненным циклом объектов капитального строительства</dc:subject>
  <dc:creator>Соколов Сергей Леонидович</dc:creator>
  <cp:keywords>строительство, цифровая платформа, жизненный цикл, ЭКВИЛИБРИУМ, СФЕРА, ECO-PPA, СПЕЦЗАЩИТА</cp:keywords>
  <dc:description>Версия 1.0. Подготовлено для межведомственного рассмотрения.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