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880" w:after="160"/>
        <w:jc w:val="center"/>
      </w:pPr>
      <w:r>
        <w:rPr>
          <w:b/>
          <w:color w:val="D99A25"/>
          <w:sz w:val="22"/>
        </w:rPr>
        <w:t>СТРАТЕГИЧЕСКАЯ КОНЦЕПЦИЯ</w:t>
      </w:r>
    </w:p>
    <w:p>
      <w:pPr>
        <w:pStyle w:val="Title"/>
        <w:jc w:val="center"/>
      </w:pPr>
      <w:r>
        <w:t>ECO-PPA — АРХИТЕКТУРА</w:t>
        <w:br/>
        <w:t>НАЦИОНАЛЬНОЙ БЕЗОПАСНОСТИ</w:t>
      </w:r>
    </w:p>
    <w:p>
      <w:pPr>
        <w:pStyle w:val="Subtitle"/>
        <w:jc w:val="center"/>
      </w:pPr>
      <w:r>
        <w:t>Единая система предупреждения угроз, мобилизации ресурсов, исполнения и подтверждения результатов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1" w:color="E8EEF5"/>
          <w:left w:val="single" w:sz="1" w:color="E8EEF5"/>
          <w:bottom w:val="single" w:sz="1" w:color="E8EEF5"/>
          <w:right w:val="single" w:sz="1" w:color="E8EEF5"/>
          <w:insideH w:val="single" w:sz="1" w:color="E8EEF5"/>
          <w:insideV w:val="single" w:sz="1" w:color="E8EEF5"/>
        </w:tblBorders>
      </w:tblPr>
      <w:tblGrid>
        <w:gridCol w:w="9360"/>
      </w:tblGrid>
      <w:tr>
        <w:trPr>
          <w:cantSplit/>
        </w:trPr>
        <w:tc>
          <w:tcPr>
            <w:tcW w:type="dxa" w:w="9360"/>
            <w:tcMar>
              <w:top w:w="80" w:type="dxa"/>
              <w:start w:w="120" w:type="dxa"/>
              <w:bottom w:w="80" w:type="dxa"/>
              <w:end w:w="120" w:type="dxa"/>
            </w:tcMar>
            <w:shd w:fill="E8EEF5"/>
          </w:tcPr>
          <w:p>
            <w:pPr>
              <w:spacing w:after="0"/>
            </w:pPr>
            <w:r>
              <w:rPr>
                <w:b/>
                <w:color w:val="16324F"/>
                <w:sz w:val="21"/>
              </w:rPr>
              <w:t xml:space="preserve">Ключевая формула. </w:t>
            </w:r>
            <w:r>
              <w:rPr>
                <w:color w:val="202A33"/>
                <w:sz w:val="21"/>
              </w:rPr>
              <w:t>Не ликвидировать последствия после наступления кризиса, а заранее выявлять угрозу, формировать ECO-PPA, назначать ответственность, мобилизовать государственные и частные ресурсы и контролировать фактическое снижение риска.</w:t>
            </w:r>
          </w:p>
        </w:tc>
      </w:tr>
    </w:tbl>
    <w:p>
      <w:pPr>
        <w:spacing w:after="20"/>
      </w:pP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5" w:color="D5DCE3"/>
          <w:left w:val="single" w:sz="5" w:color="D5DCE3"/>
          <w:bottom w:val="single" w:sz="5" w:color="D5DCE3"/>
          <w:right w:val="single" w:sz="5" w:color="D5DCE3"/>
          <w:insideH w:val="single" w:sz="5" w:color="D5DCE3"/>
          <w:insideV w:val="single" w:sz="5" w:color="D5DCE3"/>
        </w:tblBorders>
      </w:tblPr>
      <w:tblGrid>
        <w:gridCol w:w="2600"/>
        <w:gridCol w:w="6760"/>
      </w:tblGrid>
      <w:tr>
        <w:trPr>
          <w:cantSplit/>
        </w:trPr>
        <w:tc>
          <w:tcPr>
            <w:tcW w:type="dxa" w:w="2600"/>
            <w:shd w:fill="D99A25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Calibri" w:hAnsi="Calibri"/>
                <w:b/>
                <w:color w:val="FFFFFF"/>
                <w:sz w:val="20"/>
              </w:rPr>
              <w:t>ECO-PPA</w:t>
            </w:r>
          </w:p>
        </w:tc>
        <w:tc>
          <w:tcPr>
            <w:tcW w:type="dxa" w:w="67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02A33"/>
                <w:sz w:val="20"/>
              </w:rPr>
              <w:t>Механизм мобилизации государственных и частных ресурсов для предупреждения угроз.</w:t>
            </w:r>
          </w:p>
        </w:tc>
      </w:tr>
      <w:tr>
        <w:trPr>
          <w:cantSplit/>
        </w:trPr>
        <w:tc>
          <w:tcPr>
            <w:tcW w:type="dxa" w:w="2600"/>
            <w:shd w:fill="194F7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Calibri" w:hAnsi="Calibri"/>
                <w:b/>
                <w:color w:val="FFFFFF"/>
                <w:sz w:val="20"/>
              </w:rPr>
              <w:t>ЭКВИЛИБРИУМ</w:t>
            </w:r>
          </w:p>
        </w:tc>
        <w:tc>
          <w:tcPr>
            <w:tcW w:type="dxa" w:w="67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02A33"/>
                <w:sz w:val="20"/>
              </w:rPr>
              <w:t>Система наблюдения, прогнозирования и контроля.</w:t>
            </w:r>
          </w:p>
        </w:tc>
      </w:tr>
      <w:tr>
        <w:trPr>
          <w:cantSplit/>
        </w:trPr>
        <w:tc>
          <w:tcPr>
            <w:tcW w:type="dxa" w:w="2600"/>
            <w:shd w:fill="3A5DAE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Calibri" w:hAnsi="Calibri"/>
                <w:b/>
                <w:color w:val="FFFFFF"/>
                <w:sz w:val="20"/>
              </w:rPr>
              <w:t>ТПП РФ</w:t>
            </w:r>
          </w:p>
        </w:tc>
        <w:tc>
          <w:tcPr>
            <w:tcW w:type="dxa" w:w="67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02A33"/>
                <w:sz w:val="20"/>
              </w:rPr>
              <w:t>Деловой и промышленный контур.</w:t>
            </w:r>
          </w:p>
        </w:tc>
      </w:tr>
      <w:tr>
        <w:trPr>
          <w:cantSplit/>
        </w:trPr>
        <w:tc>
          <w:tcPr>
            <w:tcW w:type="dxa" w:w="2600"/>
            <w:shd w:fill="2A7F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Calibri" w:hAnsi="Calibri"/>
                <w:b/>
                <w:color w:val="FFFFFF"/>
                <w:sz w:val="20"/>
              </w:rPr>
              <w:t>АСИ</w:t>
            </w:r>
          </w:p>
        </w:tc>
        <w:tc>
          <w:tcPr>
            <w:tcW w:type="dxa" w:w="67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02A33"/>
                <w:sz w:val="20"/>
              </w:rPr>
              <w:t>Контур инициатив и масштабирования.</w:t>
            </w:r>
          </w:p>
        </w:tc>
      </w:tr>
      <w:tr>
        <w:trPr>
          <w:cantSplit/>
        </w:trPr>
        <w:tc>
          <w:tcPr>
            <w:tcW w:type="dxa" w:w="2600"/>
            <w:shd w:fill="C65B3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Calibri" w:hAnsi="Calibri"/>
                <w:b/>
                <w:color w:val="FFFFFF"/>
                <w:sz w:val="20"/>
              </w:rPr>
              <w:t>СПЕЦЗАЩИТА</w:t>
            </w:r>
          </w:p>
        </w:tc>
        <w:tc>
          <w:tcPr>
            <w:tcW w:type="dxa" w:w="67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02A33"/>
                <w:sz w:val="20"/>
              </w:rPr>
              <w:t>Кооперационная организация исполнения.</w:t>
            </w:r>
          </w:p>
        </w:tc>
      </w:tr>
      <w:tr>
        <w:trPr>
          <w:cantSplit/>
        </w:trPr>
        <w:tc>
          <w:tcPr>
            <w:tcW w:type="dxa" w:w="2600"/>
            <w:shd w:fill="8B1E2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Calibri" w:hAnsi="Calibri"/>
                <w:b/>
                <w:color w:val="FFFFFF"/>
                <w:sz w:val="20"/>
              </w:rPr>
              <w:t>Совет Безопасности</w:t>
            </w:r>
          </w:p>
        </w:tc>
        <w:tc>
          <w:tcPr>
            <w:tcW w:type="dxa" w:w="67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02A33"/>
                <w:sz w:val="20"/>
              </w:rPr>
              <w:t>Стратегический центр оценки угроз и межведомственной координации.</w:t>
            </w:r>
          </w:p>
        </w:tc>
      </w:tr>
    </w:tbl>
    <w:p>
      <w:r>
        <w:br w:type="page"/>
      </w:r>
    </w:p>
    <w:p>
      <w:pPr>
        <w:pStyle w:val="Heading1"/>
      </w:pPr>
      <w:r>
        <w:t>1. Статус и назначение документа</w:t>
      </w:r>
    </w:p>
    <w:p>
      <w:r>
        <w:t>Настоящая концепция является проектным предложением для межведомственного и делового обсуждения. Она не устанавливает полномочий государственных органов, не подтверждает их участие и не заменяет нормативные правовые акты, государственные программы, процедуры бюджетного планирования, экспертизы и закупок.</w:t>
      </w:r>
    </w:p>
    <w:p>
      <w:r>
        <w:t>Назначение документа — определить согласованную модель, в которой экологические, энергетические, ресурсные, технологические и территориальные угрозы преобразуются в исполнимые проекты с установленными владельцами результата, источниками ресурсов, показателями эффективности и механизмами контроля.</w:t>
      </w:r>
    </w:p>
    <w:p>
      <w:pPr>
        <w:pStyle w:val="Heading1"/>
      </w:pPr>
      <w:r>
        <w:t>2. Миссия и целевое состояние</w:t>
      </w:r>
    </w:p>
    <w:p>
      <w:r>
        <w:t>Миссия системы — обеспечить переход от разрозненного реагирования на последствия к управлению рисками полного цикла: от раннего выявления и прогноза до устранения причин угрозы и тиражирования подтверждённого решения.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1" w:color="E8EEF5"/>
          <w:left w:val="single" w:sz="1" w:color="E8EEF5"/>
          <w:bottom w:val="single" w:sz="1" w:color="E8EEF5"/>
          <w:right w:val="single" w:sz="1" w:color="E8EEF5"/>
          <w:insideH w:val="single" w:sz="1" w:color="E8EEF5"/>
          <w:insideV w:val="single" w:sz="1" w:color="E8EEF5"/>
        </w:tblBorders>
      </w:tblPr>
      <w:tblGrid>
        <w:gridCol w:w="9360"/>
      </w:tblGrid>
      <w:tr>
        <w:trPr>
          <w:cantSplit/>
        </w:trPr>
        <w:tc>
          <w:tcPr>
            <w:tcW w:type="dxa" w:w="9360"/>
            <w:tcMar>
              <w:top w:w="80" w:type="dxa"/>
              <w:start w:w="120" w:type="dxa"/>
              <w:bottom w:w="80" w:type="dxa"/>
              <w:end w:w="120" w:type="dxa"/>
            </w:tcMar>
            <w:shd w:fill="E8EEF5"/>
          </w:tcPr>
          <w:p>
            <w:pPr>
              <w:spacing w:after="0"/>
            </w:pPr>
            <w:r>
              <w:rPr>
                <w:b/>
                <w:color w:val="16324F"/>
                <w:sz w:val="21"/>
              </w:rPr>
              <w:t xml:space="preserve">Целевое состояние. </w:t>
            </w:r>
            <w:r>
              <w:rPr>
                <w:color w:val="202A33"/>
                <w:sz w:val="21"/>
              </w:rPr>
              <w:t>Каждая приоритетная угроза имеет паспорт, ответственный межведомственный контур, пакет решений, договорную модель ECO-PPA, обеспеченное финансирование, кооперацию исполнителей и верифицируемый результат.</w:t>
            </w:r>
          </w:p>
        </w:tc>
      </w:tr>
    </w:tbl>
    <w:p>
      <w:pPr>
        <w:spacing w:after="20"/>
      </w:pPr>
    </w:p>
    <w:p>
      <w:pPr>
        <w:pStyle w:val="Heading1"/>
      </w:pPr>
      <w:r>
        <w:t>3. Объект управления</w:t>
      </w:r>
    </w:p>
    <w:p>
      <w:pPr>
        <w:pStyle w:val="ListBullet"/>
        <w:ind w:left="720" w:hanging="360"/>
      </w:pPr>
      <w:r>
        <w:t>экологические и климатические риски территорий;</w:t>
      </w:r>
    </w:p>
    <w:p>
      <w:pPr>
        <w:pStyle w:val="ListBullet"/>
        <w:ind w:left="720" w:hanging="360"/>
      </w:pPr>
      <w:r>
        <w:t>устойчивость энергоснабжения и критической инфраструктуры;</w:t>
      </w:r>
    </w:p>
    <w:p>
      <w:pPr>
        <w:pStyle w:val="ListBullet"/>
        <w:ind w:left="720" w:hanging="360"/>
      </w:pPr>
      <w:r>
        <w:t>дефицит или деградация воды, почв, лесов и биоресурсов;</w:t>
      </w:r>
    </w:p>
    <w:p>
      <w:pPr>
        <w:pStyle w:val="ListBullet"/>
        <w:ind w:left="720" w:hanging="360"/>
      </w:pPr>
      <w:r>
        <w:t>накопленный экологический ущерб и опасные отходы;</w:t>
      </w:r>
    </w:p>
    <w:p>
      <w:pPr>
        <w:pStyle w:val="ListBullet"/>
        <w:ind w:left="720" w:hanging="360"/>
      </w:pPr>
      <w:r>
        <w:t>технологическая зависимость и дефицит отечественного оборудования;</w:t>
      </w:r>
    </w:p>
    <w:p>
      <w:pPr>
        <w:pStyle w:val="ListBullet"/>
        <w:ind w:left="720" w:hanging="360"/>
      </w:pPr>
      <w:r>
        <w:t>экономическая устойчивость предприятий и опорных населённых пунктов;</w:t>
      </w:r>
    </w:p>
    <w:p>
      <w:pPr>
        <w:pStyle w:val="ListBullet"/>
        <w:ind w:left="720" w:hanging="360"/>
      </w:pPr>
      <w:r>
        <w:t>влияние состояния среды на здоровье, занятость и качество жизни населения.</w:t>
      </w:r>
    </w:p>
    <w:p>
      <w:pPr>
        <w:pStyle w:val="Heading1"/>
      </w:pPr>
      <w:r>
        <w:t>4. Принципы системы</w:t>
      </w:r>
    </w:p>
    <w:p>
      <w:pPr>
        <w:spacing w:after="80"/>
      </w:pPr>
      <w:r>
        <w:rPr>
          <w:b/>
          <w:color w:val="16324F"/>
        </w:rPr>
        <w:t xml:space="preserve">Превентивность: </w:t>
      </w:r>
      <w:r>
        <w:t>приоритет предупреждения ущерба перед последующей компенсацией.</w:t>
      </w:r>
    </w:p>
    <w:p>
      <w:pPr>
        <w:spacing w:after="80"/>
      </w:pPr>
      <w:r>
        <w:rPr>
          <w:b/>
          <w:color w:val="16324F"/>
        </w:rPr>
        <w:t xml:space="preserve">Доказательность: </w:t>
      </w:r>
      <w:r>
        <w:t>решения принимаются на основе исходных данных, сценарного прогноза и измеримых показателей.</w:t>
      </w:r>
    </w:p>
    <w:p>
      <w:pPr>
        <w:spacing w:after="80"/>
      </w:pPr>
      <w:r>
        <w:rPr>
          <w:b/>
          <w:color w:val="16324F"/>
        </w:rPr>
        <w:t xml:space="preserve">Разделение ролей: </w:t>
      </w:r>
      <w:r>
        <w:t>стратегическое управление, экспертиза, финансирование, исполнение и контроль не смешиваются.</w:t>
      </w:r>
    </w:p>
    <w:p>
      <w:pPr>
        <w:spacing w:after="80"/>
      </w:pPr>
      <w:r>
        <w:rPr>
          <w:b/>
          <w:color w:val="16324F"/>
        </w:rPr>
        <w:t xml:space="preserve">Технологический суверенитет: </w:t>
      </w:r>
      <w:r>
        <w:t>приоритет воспроизводимых российских технологий и критически независимых цепочек поставок.</w:t>
      </w:r>
    </w:p>
    <w:p>
      <w:pPr>
        <w:spacing w:after="80"/>
      </w:pPr>
      <w:r>
        <w:rPr>
          <w:b/>
          <w:color w:val="16324F"/>
        </w:rPr>
        <w:t xml:space="preserve">Смешанное ресурсное обеспечение: </w:t>
      </w:r>
      <w:r>
        <w:t>бюджетные и частные ресурсы соединяются только при прозрачном распределении обязательств и рисков.</w:t>
      </w:r>
    </w:p>
    <w:p>
      <w:pPr>
        <w:spacing w:after="80"/>
      </w:pPr>
      <w:r>
        <w:rPr>
          <w:b/>
          <w:color w:val="16324F"/>
        </w:rPr>
        <w:t xml:space="preserve">Территориальная применимость: </w:t>
      </w:r>
      <w:r>
        <w:t>проект формируется из фактического запроса территории, а не из абстрактного предложения технологии.</w:t>
      </w:r>
    </w:p>
    <w:p>
      <w:pPr>
        <w:spacing w:after="80"/>
      </w:pPr>
      <w:r>
        <w:rPr>
          <w:b/>
          <w:color w:val="16324F"/>
        </w:rPr>
        <w:t xml:space="preserve">Масштабируемость: </w:t>
      </w:r>
      <w:r>
        <w:t>успешный пилот превращается в типовой пакет, стандарт или региональную практику.</w:t>
      </w:r>
    </w:p>
    <w:p>
      <w:pPr>
        <w:pStyle w:val="Heading1"/>
      </w:pPr>
      <w:r>
        <w:t>5. Архитектура участников</w:t>
      </w:r>
    </w:p>
    <w:p>
      <w:r>
        <w:t>Система построена как шесть взаимодополняющих контуров. Ни один из них не подменяет другой: стратегический центр не исполняет хозяйственные функции, аналитическая платформа не принимает властных решений, а оператор исполнения не определяет государственные приоритеты.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6" w:color="D5DCE3"/>
          <w:left w:val="single" w:sz="6" w:color="D5DCE3"/>
          <w:bottom w:val="single" w:sz="6" w:color="D5DCE3"/>
          <w:right w:val="single" w:sz="6" w:color="D5DCE3"/>
          <w:insideH w:val="single" w:sz="6" w:color="D5DCE3"/>
          <w:insideV w:val="single" w:sz="6" w:color="D5DCE3"/>
        </w:tblBorders>
      </w:tblPr>
      <w:tblGrid>
        <w:gridCol w:w="1900"/>
        <w:gridCol w:w="1250"/>
        <w:gridCol w:w="3300"/>
        <w:gridCol w:w="2910"/>
      </w:tblGrid>
      <w:tr>
        <w:trPr>
          <w:cantSplit/>
        </w:trPr>
        <w:tc>
          <w:tcPr>
            <w:tcW w:type="dxa" w:w="1900"/>
            <w:shd w:fill="16324F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Calibri" w:hAnsi="Calibri"/>
                <w:b/>
                <w:color w:val="FFFFFF"/>
                <w:sz w:val="18"/>
              </w:rPr>
              <w:t>Участник</w:t>
            </w:r>
          </w:p>
        </w:tc>
        <w:tc>
          <w:tcPr>
            <w:tcW w:type="dxa" w:w="1250"/>
            <w:shd w:fill="16324F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Calibri" w:hAnsi="Calibri"/>
                <w:b/>
                <w:color w:val="FFFFFF"/>
                <w:sz w:val="18"/>
              </w:rPr>
              <w:t>Контур</w:t>
            </w:r>
          </w:p>
        </w:tc>
        <w:tc>
          <w:tcPr>
            <w:tcW w:type="dxa" w:w="3300"/>
            <w:shd w:fill="16324F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Calibri" w:hAnsi="Calibri"/>
                <w:b/>
                <w:color w:val="FFFFFF"/>
                <w:sz w:val="18"/>
              </w:rPr>
              <w:t>Основная функция</w:t>
            </w:r>
          </w:p>
        </w:tc>
        <w:tc>
          <w:tcPr>
            <w:tcW w:type="dxa" w:w="2910"/>
            <w:shd w:fill="16324F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Calibri" w:hAnsi="Calibri"/>
                <w:b/>
                <w:color w:val="FFFFFF"/>
                <w:sz w:val="18"/>
              </w:rPr>
              <w:t>Граница ответственности</w:t>
            </w:r>
          </w:p>
        </w:tc>
      </w:tr>
      <w:tr>
        <w:trPr>
          <w:cantSplit/>
        </w:trPr>
        <w:tc>
          <w:tcPr>
            <w:tcW w:type="dxa" w:w="19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02A33"/>
                <w:sz w:val="18"/>
              </w:rPr>
              <w:t>Совет Безопасности РФ</w:t>
            </w:r>
          </w:p>
        </w:tc>
        <w:tc>
          <w:tcPr>
            <w:tcW w:type="dxa" w:w="12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02A33"/>
                <w:sz w:val="18"/>
              </w:rPr>
              <w:t>Стратегический</w:t>
            </w:r>
          </w:p>
        </w:tc>
        <w:tc>
          <w:tcPr>
            <w:tcW w:type="dxa" w:w="33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02A33"/>
                <w:sz w:val="18"/>
              </w:rPr>
              <w:t>Оценка системных угроз; межведомственная координация; подготовка предложений Президенту РФ; контроль исполнения принятых решений.</w:t>
            </w:r>
          </w:p>
        </w:tc>
        <w:tc>
          <w:tcPr>
            <w:tcW w:type="dxa" w:w="291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02A33"/>
                <w:sz w:val="18"/>
              </w:rPr>
              <w:t>Не выступает инвестором, хозяйственным оператором или стороной коммерческих договоров.</w:t>
            </w:r>
          </w:p>
        </w:tc>
      </w:tr>
      <w:tr>
        <w:trPr>
          <w:cantSplit/>
        </w:trPr>
        <w:tc>
          <w:tcPr>
            <w:tcW w:type="dxa" w:w="1900"/>
            <w:shd w:fill="F8FAFC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02A33"/>
                <w:sz w:val="18"/>
              </w:rPr>
              <w:t>ЭКВИЛИБРИУМ</w:t>
            </w:r>
          </w:p>
        </w:tc>
        <w:tc>
          <w:tcPr>
            <w:tcW w:type="dxa" w:w="1250"/>
            <w:shd w:fill="F8FAFC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02A33"/>
                <w:sz w:val="18"/>
              </w:rPr>
              <w:t>Аналитический</w:t>
            </w:r>
          </w:p>
        </w:tc>
        <w:tc>
          <w:tcPr>
            <w:tcW w:type="dxa" w:w="3300"/>
            <w:shd w:fill="F8FAFC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02A33"/>
                <w:sz w:val="18"/>
              </w:rPr>
              <w:t>Паспорта угроз; прогноз сценариев; карта ресурсов и проектов; мониторинг показателей; подготовка аналитических материалов.</w:t>
            </w:r>
          </w:p>
        </w:tc>
        <w:tc>
          <w:tcPr>
            <w:tcW w:type="dxa" w:w="2910"/>
            <w:shd w:fill="F8FAFC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02A33"/>
                <w:sz w:val="18"/>
              </w:rPr>
              <w:t>Не заменяет официальную статистику и государственные информационные системы; режимы доступа разделяются.</w:t>
            </w:r>
          </w:p>
        </w:tc>
      </w:tr>
      <w:tr>
        <w:trPr>
          <w:cantSplit/>
        </w:trPr>
        <w:tc>
          <w:tcPr>
            <w:tcW w:type="dxa" w:w="19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02A33"/>
                <w:sz w:val="18"/>
              </w:rPr>
              <w:t>ECO-PPA</w:t>
            </w:r>
          </w:p>
        </w:tc>
        <w:tc>
          <w:tcPr>
            <w:tcW w:type="dxa" w:w="12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02A33"/>
                <w:sz w:val="18"/>
              </w:rPr>
              <w:t>Проектно-договорный</w:t>
            </w:r>
          </w:p>
        </w:tc>
        <w:tc>
          <w:tcPr>
            <w:tcW w:type="dxa" w:w="33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02A33"/>
                <w:sz w:val="18"/>
              </w:rPr>
              <w:t>Фиксация целей, участников, обязательств, финансирования, поставок, рисков, сроков, показателей и порядка верификации.</w:t>
            </w:r>
          </w:p>
        </w:tc>
        <w:tc>
          <w:tcPr>
            <w:tcW w:type="dxa" w:w="291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02A33"/>
                <w:sz w:val="18"/>
              </w:rPr>
              <w:t>Каждое соглашение проходит правовую, финансовую, технологическую и экологическую экспертизу.</w:t>
            </w:r>
          </w:p>
        </w:tc>
      </w:tr>
      <w:tr>
        <w:trPr>
          <w:cantSplit/>
        </w:trPr>
        <w:tc>
          <w:tcPr>
            <w:tcW w:type="dxa" w:w="1900"/>
            <w:shd w:fill="F8FAFC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02A33"/>
                <w:sz w:val="18"/>
              </w:rPr>
              <w:t>ТПП РФ</w:t>
            </w:r>
          </w:p>
        </w:tc>
        <w:tc>
          <w:tcPr>
            <w:tcW w:type="dxa" w:w="1250"/>
            <w:shd w:fill="F8FAFC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02A33"/>
                <w:sz w:val="18"/>
              </w:rPr>
              <w:t>Деловой и промышленный</w:t>
            </w:r>
          </w:p>
        </w:tc>
        <w:tc>
          <w:tcPr>
            <w:tcW w:type="dxa" w:w="3300"/>
            <w:shd w:fill="F8FAFC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02A33"/>
                <w:sz w:val="18"/>
              </w:rPr>
              <w:t>Сбор запросов бизнеса; поиск производственных партнёров; промышленная кооперация; экспертиза; реестры компетенций; международные деловые связи.</w:t>
            </w:r>
          </w:p>
        </w:tc>
        <w:tc>
          <w:tcPr>
            <w:tcW w:type="dxa" w:w="2910"/>
            <w:shd w:fill="F8FAFC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02A33"/>
                <w:sz w:val="18"/>
              </w:rPr>
              <w:t>Палата не гарантирует доходность и не отвечает автоматически по обязательствам участников.</w:t>
            </w:r>
          </w:p>
        </w:tc>
      </w:tr>
      <w:tr>
        <w:trPr>
          <w:cantSplit/>
        </w:trPr>
        <w:tc>
          <w:tcPr>
            <w:tcW w:type="dxa" w:w="19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02A33"/>
                <w:sz w:val="18"/>
              </w:rPr>
              <w:t>АСИ</w:t>
            </w:r>
          </w:p>
        </w:tc>
        <w:tc>
          <w:tcPr>
            <w:tcW w:type="dxa" w:w="12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02A33"/>
                <w:sz w:val="18"/>
              </w:rPr>
              <w:t>Инициативный</w:t>
            </w:r>
          </w:p>
        </w:tc>
        <w:tc>
          <w:tcPr>
            <w:tcW w:type="dxa" w:w="33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02A33"/>
                <w:sz w:val="18"/>
              </w:rPr>
              <w:t>Поиск лидеров и решений; развитие инициатив; региональная интеграция; снятие системных барьеров; распространение лучших практик.</w:t>
            </w:r>
          </w:p>
        </w:tc>
        <w:tc>
          <w:tcPr>
            <w:tcW w:type="dxa" w:w="291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02A33"/>
                <w:sz w:val="18"/>
              </w:rPr>
              <w:t>Включение АСИ предполагается только после согласования формата и критериев участия.</w:t>
            </w:r>
          </w:p>
        </w:tc>
      </w:tr>
      <w:tr>
        <w:trPr>
          <w:cantSplit/>
        </w:trPr>
        <w:tc>
          <w:tcPr>
            <w:tcW w:type="dxa" w:w="1900"/>
            <w:shd w:fill="F8FAFC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02A33"/>
                <w:sz w:val="18"/>
              </w:rPr>
              <w:t>СПЕЦЗАЩИТА</w:t>
            </w:r>
          </w:p>
        </w:tc>
        <w:tc>
          <w:tcPr>
            <w:tcW w:type="dxa" w:w="1250"/>
            <w:shd w:fill="F8FAFC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02A33"/>
                <w:sz w:val="18"/>
              </w:rPr>
              <w:t>Кооперационный и исполнительский</w:t>
            </w:r>
          </w:p>
        </w:tc>
        <w:tc>
          <w:tcPr>
            <w:tcW w:type="dxa" w:w="3300"/>
            <w:shd w:fill="F8FAFC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02A33"/>
                <w:sz w:val="18"/>
              </w:rPr>
              <w:t>Формирование кооперации; комплектование проектных команд; организация поставщиков и подрядчиков; сопровождение реализации.</w:t>
            </w:r>
          </w:p>
        </w:tc>
        <w:tc>
          <w:tcPr>
            <w:tcW w:type="dxa" w:w="2910"/>
            <w:shd w:fill="F8FAFC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02A33"/>
                <w:sz w:val="18"/>
              </w:rPr>
              <w:t>Полномочия и ответственность закрепляются отдельными договорами по каждому проекту.</w:t>
            </w:r>
          </w:p>
        </w:tc>
      </w:tr>
    </w:tbl>
    <w:p>
      <w:pPr>
        <w:spacing w:after="20"/>
      </w:pPr>
    </w:p>
    <w:p>
      <w:pPr>
        <w:pStyle w:val="Heading1"/>
      </w:pPr>
      <w:r>
        <w:t>6. Сквозной цикл управления угрозой</w:t>
      </w:r>
    </w:p>
    <w:p>
      <w:pPr>
        <w:pStyle w:val="ListNumber"/>
      </w:pPr>
      <w:r>
        <w:t>Выявление: фиксация источника угрозы, территории, затронутого населения и критической инфраструктуры.</w:t>
      </w:r>
    </w:p>
    <w:p>
      <w:pPr>
        <w:pStyle w:val="ListNumber"/>
      </w:pPr>
      <w:r>
        <w:t>Оценка и прогноз: сценарий бездействия, вероятность, масштаб ущерба, межрегиональные последствия.</w:t>
      </w:r>
    </w:p>
    <w:p>
      <w:pPr>
        <w:pStyle w:val="ListNumber"/>
      </w:pPr>
      <w:r>
        <w:t>Формирование решения: отбор технологий и организационных мер, проверка зрелости и применимости.</w:t>
      </w:r>
    </w:p>
    <w:p>
      <w:pPr>
        <w:pStyle w:val="ListNumber"/>
      </w:pPr>
      <w:r>
        <w:t>Структурирование ECO-PPA: участники, обязательства, источники ресурсов, риски, сроки, показатели и контрольные точки.</w:t>
      </w:r>
    </w:p>
    <w:p>
      <w:pPr>
        <w:pStyle w:val="ListNumber"/>
      </w:pPr>
      <w:r>
        <w:t>Исполнение: проектирование, финансирование, поставки, строительство, внедрение, обучение и ввод в эксплуатацию.</w:t>
      </w:r>
    </w:p>
    <w:p>
      <w:pPr>
        <w:pStyle w:val="ListNumber"/>
      </w:pPr>
      <w:r>
        <w:t>Мониторинг и верификация: сопоставление результата с базовой линией, независимое подтверждение и управленческий доклад.</w:t>
      </w:r>
    </w:p>
    <w:p>
      <w:pPr>
        <w:pStyle w:val="ListNumber"/>
      </w:pPr>
      <w:r>
        <w:t>Масштабирование: типизация документации, устранение барьеров, включение в региональные или отраслевые программы.</w:t>
      </w:r>
    </w:p>
    <w:p>
      <w:pPr>
        <w:pStyle w:val="Heading1"/>
      </w:pPr>
      <w:r>
        <w:t>7. ECO-PPA как механизм мобилизации ресурсов</w:t>
      </w:r>
    </w:p>
    <w:p>
      <w:r>
        <w:t>ECO-PPA предлагается определить как комплексное экологическое проектно-партнёрское соглашение. В энергетических проектах оно может включать классический Power Purchase Agreement — долгосрочный договор поставки энергии. В комплексных проектах соглашение охватывает восстановление природной среды, ресурсную эффективность, локальную инфраструктуру и технологическую модернизацию.</w:t>
      </w:r>
    </w:p>
    <w:p>
      <w:pPr>
        <w:pStyle w:val="Heading2"/>
      </w:pPr>
      <w:r>
        <w:t>7.1. Обязательная структура ECO-PPA</w:t>
      </w:r>
    </w:p>
    <w:p>
      <w:pPr>
        <w:pStyle w:val="ListBullet"/>
        <w:ind w:left="720" w:hanging="360"/>
      </w:pPr>
      <w:r>
        <w:t>паспорт угрозы и исходная линия;</w:t>
      </w:r>
    </w:p>
    <w:p>
      <w:pPr>
        <w:pStyle w:val="ListBullet"/>
        <w:ind w:left="720" w:hanging="360"/>
      </w:pPr>
      <w:r>
        <w:t>целевое состояние и измеримые показатели снижения риска;</w:t>
      </w:r>
    </w:p>
    <w:p>
      <w:pPr>
        <w:pStyle w:val="ListBullet"/>
        <w:ind w:left="720" w:hanging="360"/>
      </w:pPr>
      <w:r>
        <w:t>состав участников и матрица полномочий;</w:t>
      </w:r>
    </w:p>
    <w:p>
      <w:pPr>
        <w:pStyle w:val="ListBullet"/>
        <w:ind w:left="720" w:hanging="360"/>
      </w:pPr>
      <w:r>
        <w:t>технологическая и производственная модель;</w:t>
      </w:r>
    </w:p>
    <w:p>
      <w:pPr>
        <w:pStyle w:val="ListBullet"/>
        <w:ind w:left="720" w:hanging="360"/>
      </w:pPr>
      <w:r>
        <w:t>источники финансирования и возврата инвестиций;</w:t>
      </w:r>
    </w:p>
    <w:p>
      <w:pPr>
        <w:pStyle w:val="ListBullet"/>
        <w:ind w:left="720" w:hanging="360"/>
      </w:pPr>
      <w:r>
        <w:t>распределение рисков, гарантий и ответственности;</w:t>
      </w:r>
    </w:p>
    <w:p>
      <w:pPr>
        <w:pStyle w:val="ListBullet"/>
        <w:ind w:left="720" w:hanging="360"/>
      </w:pPr>
      <w:r>
        <w:t>календарный план и контрольные точки;</w:t>
      </w:r>
    </w:p>
    <w:p>
      <w:pPr>
        <w:pStyle w:val="ListBullet"/>
        <w:ind w:left="720" w:hanging="360"/>
      </w:pPr>
      <w:r>
        <w:t>порядок мониторинга, раскрытия данных и независимой верификации;</w:t>
      </w:r>
    </w:p>
    <w:p>
      <w:pPr>
        <w:pStyle w:val="ListBullet"/>
        <w:ind w:left="720" w:hanging="360"/>
      </w:pPr>
      <w:r>
        <w:t>условия эксплуатации, масштабирования и выхода участников.</w:t>
      </w:r>
    </w:p>
    <w:p>
      <w:pPr>
        <w:pStyle w:val="Heading2"/>
      </w:pPr>
      <w:r>
        <w:t>7.2. Источники ресурсного обеспечения</w:t>
      </w:r>
    </w:p>
    <w:p>
      <w:r>
        <w:rPr>
          <w:b/>
          <w:color w:val="2E74B5"/>
        </w:rPr>
        <w:t xml:space="preserve">Публичный контур: </w:t>
      </w:r>
      <w:r>
        <w:t>Федеральные и региональные программы; бюджетные инвестиции; субсидии; ГЧП и концессии — в предусмотренных законом случаях.</w:t>
      </w:r>
    </w:p>
    <w:p>
      <w:r>
        <w:rPr>
          <w:b/>
          <w:color w:val="2E74B5"/>
        </w:rPr>
        <w:t xml:space="preserve">Корпоративный контур: </w:t>
      </w:r>
      <w:r>
        <w:t>Собственные средства предприятий; долгосрочный спрос; оффтейк-контракты; энергосервисные модели.</w:t>
      </w:r>
    </w:p>
    <w:p>
      <w:r>
        <w:rPr>
          <w:b/>
          <w:color w:val="2E74B5"/>
        </w:rPr>
        <w:t xml:space="preserve">Финансовый контур: </w:t>
      </w:r>
      <w:r>
        <w:t>Банковское и проектное финансирование; лизинг; облигационные инструменты; ЦФА — только в допустимых правовых моделях.</w:t>
      </w:r>
    </w:p>
    <w:p>
      <w:r>
        <w:rPr>
          <w:b/>
          <w:color w:val="2E74B5"/>
        </w:rPr>
        <w:t xml:space="preserve">Кооперационный контур: </w:t>
      </w:r>
      <w:r>
        <w:t>Паевые и иные кооперативные механизмы в пределах законодательства и с прозрачным раскрытием рисков.</w:t>
      </w:r>
    </w:p>
    <w:p>
      <w:r>
        <w:rPr>
          <w:b/>
          <w:color w:val="2E74B5"/>
        </w:rPr>
        <w:t xml:space="preserve">Научно-технологический контур: </w:t>
      </w:r>
      <w:r>
        <w:t>Результаты НИОКР, испытательные мощности, интеллектуальная собственность, инженерные и кадровые компетенции.</w:t>
      </w:r>
    </w:p>
    <w:p>
      <w:pPr>
        <w:pStyle w:val="Heading1"/>
      </w:pPr>
      <w:r>
        <w:t>8. ЭКВИЛИБРИУМ: наблюдение, прогнозирование и контроль</w:t>
      </w:r>
    </w:p>
    <w:p>
      <w:r>
        <w:t>ЭКВИЛИБРИУМ формирует единое аналитическое представление о состоянии территории и ходе проектов. Платформа должна быть построена по принципу раздельных информационных контуров: открытого, служебного и ограниченного доступа.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6" w:color="D5DCE3"/>
          <w:left w:val="single" w:sz="6" w:color="D5DCE3"/>
          <w:bottom w:val="single" w:sz="6" w:color="D5DCE3"/>
          <w:right w:val="single" w:sz="6" w:color="D5DCE3"/>
          <w:insideH w:val="single" w:sz="6" w:color="D5DCE3"/>
          <w:insideV w:val="single" w:sz="6" w:color="D5DCE3"/>
        </w:tblBorders>
      </w:tblPr>
      <w:tblGrid>
        <w:gridCol w:w="2200"/>
        <w:gridCol w:w="7160"/>
      </w:tblGrid>
      <w:tr>
        <w:trPr>
          <w:cantSplit/>
        </w:trPr>
        <w:tc>
          <w:tcPr>
            <w:tcW w:type="dxa" w:w="2200"/>
            <w:shd w:fill="16324F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Calibri" w:hAnsi="Calibri"/>
                <w:b/>
                <w:color w:val="FFFFFF"/>
                <w:sz w:val="18"/>
              </w:rPr>
              <w:t>Функция</w:t>
            </w:r>
          </w:p>
        </w:tc>
        <w:tc>
          <w:tcPr>
            <w:tcW w:type="dxa" w:w="7160"/>
            <w:shd w:fill="16324F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Calibri" w:hAnsi="Calibri"/>
                <w:b/>
                <w:color w:val="FFFFFF"/>
                <w:sz w:val="18"/>
              </w:rPr>
              <w:t>Содержание</w:t>
            </w:r>
          </w:p>
        </w:tc>
      </w:tr>
      <w:tr>
        <w:trPr>
          <w:cantSplit/>
        </w:trPr>
        <w:tc>
          <w:tcPr>
            <w:tcW w:type="dxa" w:w="22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02A33"/>
                <w:sz w:val="18"/>
              </w:rPr>
              <w:t>Наблюдение</w:t>
            </w:r>
          </w:p>
        </w:tc>
        <w:tc>
          <w:tcPr>
            <w:tcW w:type="dxa" w:w="71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02A33"/>
                <w:sz w:val="18"/>
              </w:rPr>
              <w:t>Сбор исходных и текущих показателей; цифровые паспорта территорий и объектов.</w:t>
            </w:r>
          </w:p>
        </w:tc>
      </w:tr>
      <w:tr>
        <w:trPr>
          <w:cantSplit/>
        </w:trPr>
        <w:tc>
          <w:tcPr>
            <w:tcW w:type="dxa" w:w="2200"/>
            <w:shd w:fill="F8FAFC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02A33"/>
                <w:sz w:val="18"/>
              </w:rPr>
              <w:t>Прогнозирование</w:t>
            </w:r>
          </w:p>
        </w:tc>
        <w:tc>
          <w:tcPr>
            <w:tcW w:type="dxa" w:w="7160"/>
            <w:shd w:fill="F8FAFC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02A33"/>
                <w:sz w:val="18"/>
              </w:rPr>
              <w:t>Сценарии развития угроз; оценка последствий бездействия; приоритизация мер.</w:t>
            </w:r>
          </w:p>
        </w:tc>
      </w:tr>
      <w:tr>
        <w:trPr>
          <w:cantSplit/>
        </w:trPr>
        <w:tc>
          <w:tcPr>
            <w:tcW w:type="dxa" w:w="22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02A33"/>
                <w:sz w:val="18"/>
              </w:rPr>
              <w:t>Проектный контроль</w:t>
            </w:r>
          </w:p>
        </w:tc>
        <w:tc>
          <w:tcPr>
            <w:tcW w:type="dxa" w:w="71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02A33"/>
                <w:sz w:val="18"/>
              </w:rPr>
              <w:t>Статусы ECO-PPA, ресурсы, сроки, отклонения, ответственные, контрольные точки.</w:t>
            </w:r>
          </w:p>
        </w:tc>
      </w:tr>
      <w:tr>
        <w:trPr>
          <w:cantSplit/>
        </w:trPr>
        <w:tc>
          <w:tcPr>
            <w:tcW w:type="dxa" w:w="2200"/>
            <w:shd w:fill="F8FAFC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02A33"/>
                <w:sz w:val="18"/>
              </w:rPr>
              <w:t>Результативность</w:t>
            </w:r>
          </w:p>
        </w:tc>
        <w:tc>
          <w:tcPr>
            <w:tcW w:type="dxa" w:w="7160"/>
            <w:shd w:fill="F8FAFC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02A33"/>
                <w:sz w:val="18"/>
              </w:rPr>
              <w:t>Сопоставление базовой линии и фактического эффекта; стоимость предотвращённого ущерба.</w:t>
            </w:r>
          </w:p>
        </w:tc>
      </w:tr>
      <w:tr>
        <w:trPr>
          <w:cantSplit/>
        </w:trPr>
        <w:tc>
          <w:tcPr>
            <w:tcW w:type="dxa" w:w="22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02A33"/>
                <w:sz w:val="18"/>
              </w:rPr>
              <w:t>Управленческая отчётность</w:t>
            </w:r>
          </w:p>
        </w:tc>
        <w:tc>
          <w:tcPr>
            <w:tcW w:type="dxa" w:w="71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02A33"/>
                <w:sz w:val="18"/>
              </w:rPr>
              <w:t>Аналитические панели и доклады для соответствующего уровня принятия решений.</w:t>
            </w:r>
          </w:p>
        </w:tc>
      </w:tr>
    </w:tbl>
    <w:p>
      <w:pPr>
        <w:spacing w:after="20"/>
      </w:pP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1" w:color="FBE9E7"/>
          <w:left w:val="single" w:sz="1" w:color="FBE9E7"/>
          <w:bottom w:val="single" w:sz="1" w:color="FBE9E7"/>
          <w:right w:val="single" w:sz="1" w:color="FBE9E7"/>
          <w:insideH w:val="single" w:sz="1" w:color="FBE9E7"/>
          <w:insideV w:val="single" w:sz="1" w:color="FBE9E7"/>
        </w:tblBorders>
      </w:tblPr>
      <w:tblGrid>
        <w:gridCol w:w="9360"/>
      </w:tblGrid>
      <w:tr>
        <w:trPr>
          <w:cantSplit/>
        </w:trPr>
        <w:tc>
          <w:tcPr>
            <w:tcW w:type="dxa" w:w="9360"/>
            <w:tcMar>
              <w:top w:w="80" w:type="dxa"/>
              <w:start w:w="120" w:type="dxa"/>
              <w:bottom w:w="80" w:type="dxa"/>
              <w:end w:w="120" w:type="dxa"/>
            </w:tcMar>
            <w:shd w:fill="FBE9E7"/>
          </w:tcPr>
          <w:p>
            <w:pPr>
              <w:spacing w:after="0"/>
            </w:pPr>
            <w:r>
              <w:rPr>
                <w:b/>
                <w:color w:val="16324F"/>
                <w:sz w:val="21"/>
              </w:rPr>
              <w:t xml:space="preserve">Требование безопасности. </w:t>
            </w:r>
            <w:r>
              <w:rPr>
                <w:color w:val="202A33"/>
                <w:sz w:val="21"/>
              </w:rPr>
              <w:t>Открытая часть платформы не должна раскрывать уязвимости критической инфраструктуры. Архитектура доступа должна учитывать требования к государственной тайне, критической информационной инфраструктуре, служебной информации и персональным данным.</w:t>
            </w:r>
          </w:p>
        </w:tc>
      </w:tr>
    </w:tbl>
    <w:p>
      <w:pPr>
        <w:spacing w:after="20"/>
      </w:pPr>
    </w:p>
    <w:p>
      <w:pPr>
        <w:pStyle w:val="Heading1"/>
      </w:pPr>
      <w:r>
        <w:t>9. Матрица ответственности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6" w:color="D5DCE3"/>
          <w:left w:val="single" w:sz="6" w:color="D5DCE3"/>
          <w:bottom w:val="single" w:sz="6" w:color="D5DCE3"/>
          <w:right w:val="single" w:sz="6" w:color="D5DCE3"/>
          <w:insideH w:val="single" w:sz="6" w:color="D5DCE3"/>
          <w:insideV w:val="single" w:sz="6" w:color="D5DCE3"/>
        </w:tblBorders>
      </w:tblPr>
      <w:tblGrid>
        <w:gridCol w:w="2250"/>
        <w:gridCol w:w="2100"/>
        <w:gridCol w:w="2600"/>
        <w:gridCol w:w="2410"/>
      </w:tblGrid>
      <w:tr>
        <w:trPr>
          <w:cantSplit/>
        </w:trPr>
        <w:tc>
          <w:tcPr>
            <w:tcW w:type="dxa" w:w="2250"/>
            <w:shd w:fill="16324F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Calibri" w:hAnsi="Calibri"/>
                <w:b/>
                <w:color w:val="FFFFFF"/>
                <w:sz w:val="18"/>
              </w:rPr>
              <w:t>Процесс</w:t>
            </w:r>
          </w:p>
        </w:tc>
        <w:tc>
          <w:tcPr>
            <w:tcW w:type="dxa" w:w="2100"/>
            <w:shd w:fill="16324F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Calibri" w:hAnsi="Calibri"/>
                <w:b/>
                <w:color w:val="FFFFFF"/>
                <w:sz w:val="18"/>
              </w:rPr>
              <w:t>Владелец результата</w:t>
            </w:r>
          </w:p>
        </w:tc>
        <w:tc>
          <w:tcPr>
            <w:tcW w:type="dxa" w:w="2600"/>
            <w:shd w:fill="16324F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Calibri" w:hAnsi="Calibri"/>
                <w:b/>
                <w:color w:val="FFFFFF"/>
                <w:sz w:val="18"/>
              </w:rPr>
              <w:t>Участники</w:t>
            </w:r>
          </w:p>
        </w:tc>
        <w:tc>
          <w:tcPr>
            <w:tcW w:type="dxa" w:w="2410"/>
            <w:shd w:fill="16324F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Calibri" w:hAnsi="Calibri"/>
                <w:b/>
                <w:color w:val="FFFFFF"/>
                <w:sz w:val="18"/>
              </w:rPr>
              <w:t>Выход</w:t>
            </w:r>
          </w:p>
        </w:tc>
      </w:tr>
      <w:tr>
        <w:trPr>
          <w:cantSplit/>
        </w:trPr>
        <w:tc>
          <w:tcPr>
            <w:tcW w:type="dxa" w:w="22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02A33"/>
                <w:sz w:val="18"/>
              </w:rPr>
              <w:t>Определение стратегических угроз</w:t>
            </w:r>
          </w:p>
        </w:tc>
        <w:tc>
          <w:tcPr>
            <w:tcW w:type="dxa" w:w="21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02A33"/>
                <w:sz w:val="18"/>
              </w:rPr>
              <w:t>Совет Безопасности / уполномоченные органы</w:t>
            </w:r>
          </w:p>
        </w:tc>
        <w:tc>
          <w:tcPr>
            <w:tcW w:type="dxa" w:w="26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02A33"/>
                <w:sz w:val="18"/>
              </w:rPr>
              <w:t>Федеральные ведомства, регионы, наука</w:t>
            </w:r>
          </w:p>
        </w:tc>
        <w:tc>
          <w:tcPr>
            <w:tcW w:type="dxa" w:w="241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02A33"/>
                <w:sz w:val="18"/>
              </w:rPr>
              <w:t>Перечень приоритетов и поручений</w:t>
            </w:r>
          </w:p>
        </w:tc>
      </w:tr>
      <w:tr>
        <w:trPr>
          <w:cantSplit/>
        </w:trPr>
        <w:tc>
          <w:tcPr>
            <w:tcW w:type="dxa" w:w="2250"/>
            <w:shd w:fill="F8FAFC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02A33"/>
                <w:sz w:val="18"/>
              </w:rPr>
              <w:t>Сбор инициатив и технологий</w:t>
            </w:r>
          </w:p>
        </w:tc>
        <w:tc>
          <w:tcPr>
            <w:tcW w:type="dxa" w:w="2100"/>
            <w:shd w:fill="F8FAFC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02A33"/>
                <w:sz w:val="18"/>
              </w:rPr>
              <w:t>АСИ</w:t>
            </w:r>
          </w:p>
        </w:tc>
        <w:tc>
          <w:tcPr>
            <w:tcW w:type="dxa" w:w="2600"/>
            <w:shd w:fill="F8FAFC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02A33"/>
                <w:sz w:val="18"/>
              </w:rPr>
              <w:t>ТПП РФ, регионы, научные организации</w:t>
            </w:r>
          </w:p>
        </w:tc>
        <w:tc>
          <w:tcPr>
            <w:tcW w:type="dxa" w:w="2410"/>
            <w:shd w:fill="F8FAFC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02A33"/>
                <w:sz w:val="18"/>
              </w:rPr>
              <w:t>Портфель предварительно отобранных решений</w:t>
            </w:r>
          </w:p>
        </w:tc>
      </w:tr>
      <w:tr>
        <w:trPr>
          <w:cantSplit/>
        </w:trPr>
        <w:tc>
          <w:tcPr>
            <w:tcW w:type="dxa" w:w="22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02A33"/>
                <w:sz w:val="18"/>
              </w:rPr>
              <w:t>Промышленная кооперация</w:t>
            </w:r>
          </w:p>
        </w:tc>
        <w:tc>
          <w:tcPr>
            <w:tcW w:type="dxa" w:w="21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02A33"/>
                <w:sz w:val="18"/>
              </w:rPr>
              <w:t>ТПП РФ</w:t>
            </w:r>
          </w:p>
        </w:tc>
        <w:tc>
          <w:tcPr>
            <w:tcW w:type="dxa" w:w="26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02A33"/>
                <w:sz w:val="18"/>
              </w:rPr>
              <w:t>СПЕЦЗАЩИТА, предприятия, банки</w:t>
            </w:r>
          </w:p>
        </w:tc>
        <w:tc>
          <w:tcPr>
            <w:tcW w:type="dxa" w:w="241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02A33"/>
                <w:sz w:val="18"/>
              </w:rPr>
              <w:t>Консорциум и цепочка поставок</w:t>
            </w:r>
          </w:p>
        </w:tc>
      </w:tr>
      <w:tr>
        <w:trPr>
          <w:cantSplit/>
        </w:trPr>
        <w:tc>
          <w:tcPr>
            <w:tcW w:type="dxa" w:w="2250"/>
            <w:shd w:fill="F8FAFC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02A33"/>
                <w:sz w:val="18"/>
              </w:rPr>
              <w:t>Структурирование проекта</w:t>
            </w:r>
          </w:p>
        </w:tc>
        <w:tc>
          <w:tcPr>
            <w:tcW w:type="dxa" w:w="2100"/>
            <w:shd w:fill="F8FAFC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02A33"/>
                <w:sz w:val="18"/>
              </w:rPr>
              <w:t>Оператор ECO-PPA</w:t>
            </w:r>
          </w:p>
        </w:tc>
        <w:tc>
          <w:tcPr>
            <w:tcW w:type="dxa" w:w="2600"/>
            <w:shd w:fill="F8FAFC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02A33"/>
                <w:sz w:val="18"/>
              </w:rPr>
              <w:t>Заказчик, инвестор, юристы, эксперты</w:t>
            </w:r>
          </w:p>
        </w:tc>
        <w:tc>
          <w:tcPr>
            <w:tcW w:type="dxa" w:w="2410"/>
            <w:shd w:fill="F8FAFC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02A33"/>
                <w:sz w:val="18"/>
              </w:rPr>
              <w:t>Подписываемый пакет соглашений</w:t>
            </w:r>
          </w:p>
        </w:tc>
      </w:tr>
      <w:tr>
        <w:trPr>
          <w:cantSplit/>
        </w:trPr>
        <w:tc>
          <w:tcPr>
            <w:tcW w:type="dxa" w:w="22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02A33"/>
                <w:sz w:val="18"/>
              </w:rPr>
              <w:t>Практическое исполнение</w:t>
            </w:r>
          </w:p>
        </w:tc>
        <w:tc>
          <w:tcPr>
            <w:tcW w:type="dxa" w:w="21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02A33"/>
                <w:sz w:val="18"/>
              </w:rPr>
              <w:t>СПЕЦЗАЩИТА / назначенный оператор</w:t>
            </w:r>
          </w:p>
        </w:tc>
        <w:tc>
          <w:tcPr>
            <w:tcW w:type="dxa" w:w="26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02A33"/>
                <w:sz w:val="18"/>
              </w:rPr>
              <w:t>Подрядчики, поставщики, территория</w:t>
            </w:r>
          </w:p>
        </w:tc>
        <w:tc>
          <w:tcPr>
            <w:tcW w:type="dxa" w:w="241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02A33"/>
                <w:sz w:val="18"/>
              </w:rPr>
              <w:t>Созданный и введённый объект</w:t>
            </w:r>
          </w:p>
        </w:tc>
      </w:tr>
      <w:tr>
        <w:trPr>
          <w:cantSplit/>
        </w:trPr>
        <w:tc>
          <w:tcPr>
            <w:tcW w:type="dxa" w:w="2250"/>
            <w:shd w:fill="F8FAFC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02A33"/>
                <w:sz w:val="18"/>
              </w:rPr>
              <w:t>Мониторинг</w:t>
            </w:r>
          </w:p>
        </w:tc>
        <w:tc>
          <w:tcPr>
            <w:tcW w:type="dxa" w:w="2100"/>
            <w:shd w:fill="F8FAFC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02A33"/>
                <w:sz w:val="18"/>
              </w:rPr>
              <w:t>ЭКВИЛИБРИУМ / владельцы данных</w:t>
            </w:r>
          </w:p>
        </w:tc>
        <w:tc>
          <w:tcPr>
            <w:tcW w:type="dxa" w:w="2600"/>
            <w:shd w:fill="F8FAFC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02A33"/>
                <w:sz w:val="18"/>
              </w:rPr>
              <w:t>Органы контроля, оператор, территория</w:t>
            </w:r>
          </w:p>
        </w:tc>
        <w:tc>
          <w:tcPr>
            <w:tcW w:type="dxa" w:w="2410"/>
            <w:shd w:fill="F8FAFC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02A33"/>
                <w:sz w:val="18"/>
              </w:rPr>
              <w:t>Актуальные показатели и предупреждения</w:t>
            </w:r>
          </w:p>
        </w:tc>
      </w:tr>
      <w:tr>
        <w:trPr>
          <w:cantSplit/>
        </w:trPr>
        <w:tc>
          <w:tcPr>
            <w:tcW w:type="dxa" w:w="22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02A33"/>
                <w:sz w:val="18"/>
              </w:rPr>
              <w:t>Верификация</w:t>
            </w:r>
          </w:p>
        </w:tc>
        <w:tc>
          <w:tcPr>
            <w:tcW w:type="dxa" w:w="21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02A33"/>
                <w:sz w:val="18"/>
              </w:rPr>
              <w:t>Независимая квалифицированная сторона</w:t>
            </w:r>
          </w:p>
        </w:tc>
        <w:tc>
          <w:tcPr>
            <w:tcW w:type="dxa" w:w="26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02A33"/>
                <w:sz w:val="18"/>
              </w:rPr>
              <w:t>Наука, ТПП, профильные органы</w:t>
            </w:r>
          </w:p>
        </w:tc>
        <w:tc>
          <w:tcPr>
            <w:tcW w:type="dxa" w:w="241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02A33"/>
                <w:sz w:val="18"/>
              </w:rPr>
              <w:t>Заключение о достигнутом результате</w:t>
            </w:r>
          </w:p>
        </w:tc>
      </w:tr>
      <w:tr>
        <w:trPr>
          <w:cantSplit/>
        </w:trPr>
        <w:tc>
          <w:tcPr>
            <w:tcW w:type="dxa" w:w="2250"/>
            <w:shd w:fill="F8FAFC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02A33"/>
                <w:sz w:val="18"/>
              </w:rPr>
              <w:t>Масштабирование</w:t>
            </w:r>
          </w:p>
        </w:tc>
        <w:tc>
          <w:tcPr>
            <w:tcW w:type="dxa" w:w="2100"/>
            <w:shd w:fill="F8FAFC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02A33"/>
                <w:sz w:val="18"/>
              </w:rPr>
              <w:t>АСИ и профильные органы</w:t>
            </w:r>
          </w:p>
        </w:tc>
        <w:tc>
          <w:tcPr>
            <w:tcW w:type="dxa" w:w="2600"/>
            <w:shd w:fill="F8FAFC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02A33"/>
                <w:sz w:val="18"/>
              </w:rPr>
              <w:t>ТПП, регионы, оператор ECO-PPA</w:t>
            </w:r>
          </w:p>
        </w:tc>
        <w:tc>
          <w:tcPr>
            <w:tcW w:type="dxa" w:w="2410"/>
            <w:shd w:fill="F8FAFC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02A33"/>
                <w:sz w:val="18"/>
              </w:rPr>
              <w:t>Типовой пакет и программа тиражирования</w:t>
            </w:r>
          </w:p>
        </w:tc>
      </w:tr>
    </w:tbl>
    <w:p>
      <w:pPr>
        <w:spacing w:after="20"/>
      </w:pPr>
    </w:p>
    <w:p>
      <w:pPr>
        <w:pStyle w:val="Heading1"/>
      </w:pPr>
      <w:r>
        <w:t>10. Система показателей</w:t>
      </w:r>
    </w:p>
    <w:p>
      <w:pPr>
        <w:pStyle w:val="ListBullet"/>
        <w:ind w:left="720" w:hanging="360"/>
      </w:pPr>
      <w:r>
        <w:t>снижение вероятности и масштаба ущерба;</w:t>
      </w:r>
    </w:p>
    <w:p>
      <w:pPr>
        <w:pStyle w:val="ListBullet"/>
        <w:ind w:left="720" w:hanging="360"/>
      </w:pPr>
      <w:r>
        <w:t>надёжность энергоснабжения и инфраструктуры;</w:t>
      </w:r>
    </w:p>
    <w:p>
      <w:pPr>
        <w:pStyle w:val="ListBullet"/>
        <w:ind w:left="720" w:hanging="360"/>
      </w:pPr>
      <w:r>
        <w:t>объём предотвращённых выбросов, сбросов и отходов;</w:t>
      </w:r>
    </w:p>
    <w:p>
      <w:pPr>
        <w:pStyle w:val="ListBullet"/>
        <w:ind w:left="720" w:hanging="360"/>
      </w:pPr>
      <w:r>
        <w:t>восстановленные вода, почвы, леса и экосистемы;</w:t>
      </w:r>
    </w:p>
    <w:p>
      <w:pPr>
        <w:pStyle w:val="ListBullet"/>
        <w:ind w:left="720" w:hanging="360"/>
      </w:pPr>
      <w:r>
        <w:t>доля отечественных технологий и оборудования;</w:t>
      </w:r>
    </w:p>
    <w:p>
      <w:pPr>
        <w:pStyle w:val="ListBullet"/>
        <w:ind w:left="720" w:hanging="360"/>
      </w:pPr>
      <w:r>
        <w:t>объём привлечённых внебюджетных ресурсов;</w:t>
      </w:r>
    </w:p>
    <w:p>
      <w:pPr>
        <w:pStyle w:val="ListBullet"/>
        <w:ind w:left="720" w:hanging="360"/>
      </w:pPr>
      <w:r>
        <w:t>созданные рабочие места и подготовленные специалисты;</w:t>
      </w:r>
    </w:p>
    <w:p>
      <w:pPr>
        <w:pStyle w:val="ListBullet"/>
        <w:ind w:left="720" w:hanging="360"/>
      </w:pPr>
      <w:r>
        <w:t>стоимость жизненного цикла и предотвращённого ущерба;</w:t>
      </w:r>
    </w:p>
    <w:p>
      <w:pPr>
        <w:pStyle w:val="ListBullet"/>
        <w:ind w:left="720" w:hanging="360"/>
      </w:pPr>
      <w:r>
        <w:t>доля показателей, подтверждённых независимой верификацией;</w:t>
      </w:r>
    </w:p>
    <w:p>
      <w:pPr>
        <w:pStyle w:val="ListBullet"/>
        <w:ind w:left="720" w:hanging="360"/>
      </w:pPr>
      <w:r>
        <w:t>число территорий, внедривших типовое решение.</w:t>
      </w:r>
    </w:p>
    <w:p>
      <w:pPr>
        <w:pStyle w:val="Heading1"/>
      </w:pPr>
      <w:r>
        <w:t>11. Пилотный проект</w:t>
      </w:r>
    </w:p>
    <w:p>
      <w:r>
        <w:t>Рекомендуемый старт — один доказательный территориальный пилот либо портфель из 5–7 взаимосвязанных проектов. Для связки Сызрань — Рамено — Смолькино до направления предложения государственным органам требуется отдельное обоснование выбора: паспорт угроз, исходные данные, перечень объектов, заинтересованные стороны, правовой статус площадок и предварительная экономика.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6" w:color="D5DCE3"/>
          <w:left w:val="single" w:sz="6" w:color="D5DCE3"/>
          <w:bottom w:val="single" w:sz="6" w:color="D5DCE3"/>
          <w:right w:val="single" w:sz="6" w:color="D5DCE3"/>
          <w:insideH w:val="single" w:sz="6" w:color="D5DCE3"/>
          <w:insideV w:val="single" w:sz="6" w:color="D5DCE3"/>
        </w:tblBorders>
      </w:tblPr>
      <w:tblGrid>
        <w:gridCol w:w="1750"/>
        <w:gridCol w:w="7610"/>
      </w:tblGrid>
      <w:tr>
        <w:trPr>
          <w:cantSplit/>
        </w:trPr>
        <w:tc>
          <w:tcPr>
            <w:tcW w:type="dxa" w:w="1750"/>
            <w:shd w:fill="16324F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Calibri" w:hAnsi="Calibri"/>
                <w:b/>
                <w:color w:val="FFFFFF"/>
                <w:sz w:val="18"/>
              </w:rPr>
              <w:t>Период</w:t>
            </w:r>
          </w:p>
        </w:tc>
        <w:tc>
          <w:tcPr>
            <w:tcW w:type="dxa" w:w="7610"/>
            <w:shd w:fill="16324F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Calibri" w:hAnsi="Calibri"/>
                <w:b/>
                <w:color w:val="FFFFFF"/>
                <w:sz w:val="18"/>
              </w:rPr>
              <w:t>Ключевой результат</w:t>
            </w:r>
          </w:p>
        </w:tc>
      </w:tr>
      <w:tr>
        <w:trPr>
          <w:cantSplit/>
        </w:trPr>
        <w:tc>
          <w:tcPr>
            <w:tcW w:type="dxa" w:w="17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02A33"/>
                <w:sz w:val="18"/>
              </w:rPr>
              <w:t>0–3 месяца</w:t>
            </w:r>
          </w:p>
        </w:tc>
        <w:tc>
          <w:tcPr>
            <w:tcW w:type="dxa" w:w="761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02A33"/>
                <w:sz w:val="18"/>
              </w:rPr>
              <w:t>Паспорт угроз; рабочая группа; выбор территории; предварительный реестр технологий; критерии отбора.</w:t>
            </w:r>
          </w:p>
        </w:tc>
      </w:tr>
      <w:tr>
        <w:trPr>
          <w:cantSplit/>
        </w:trPr>
        <w:tc>
          <w:tcPr>
            <w:tcW w:type="dxa" w:w="1750"/>
            <w:shd w:fill="F8FAFC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02A33"/>
                <w:sz w:val="18"/>
              </w:rPr>
              <w:t>4–6 месяцев</w:t>
            </w:r>
          </w:p>
        </w:tc>
        <w:tc>
          <w:tcPr>
            <w:tcW w:type="dxa" w:w="7610"/>
            <w:shd w:fill="F8FAFC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02A33"/>
                <w:sz w:val="18"/>
              </w:rPr>
              <w:t>ТЭО; базовые замеры; модель ECO-PPA; правовая и финансовая экспертиза; состав консорциума.</w:t>
            </w:r>
          </w:p>
        </w:tc>
      </w:tr>
      <w:tr>
        <w:trPr>
          <w:cantSplit/>
        </w:trPr>
        <w:tc>
          <w:tcPr>
            <w:tcW w:type="dxa" w:w="17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02A33"/>
                <w:sz w:val="18"/>
              </w:rPr>
              <w:t>7–12 месяцев</w:t>
            </w:r>
          </w:p>
        </w:tc>
        <w:tc>
          <w:tcPr>
            <w:tcW w:type="dxa" w:w="761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02A33"/>
                <w:sz w:val="18"/>
              </w:rPr>
              <w:t>Финансирование; проектирование; первая очередь внедрения; запуск защищённого мониторинга.</w:t>
            </w:r>
          </w:p>
        </w:tc>
      </w:tr>
      <w:tr>
        <w:trPr>
          <w:cantSplit/>
        </w:trPr>
        <w:tc>
          <w:tcPr>
            <w:tcW w:type="dxa" w:w="1750"/>
            <w:shd w:fill="F8FAFC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02A33"/>
                <w:sz w:val="18"/>
              </w:rPr>
              <w:t>13–24 месяца</w:t>
            </w:r>
          </w:p>
        </w:tc>
        <w:tc>
          <w:tcPr>
            <w:tcW w:type="dxa" w:w="7610"/>
            <w:shd w:fill="F8FAFC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02A33"/>
                <w:sz w:val="18"/>
              </w:rPr>
              <w:t>Эксплуатационные данные; независимая верификация; оценка предотвращённого ущерба; нормативные предложения.</w:t>
            </w:r>
          </w:p>
        </w:tc>
      </w:tr>
      <w:tr>
        <w:trPr>
          <w:cantSplit/>
        </w:trPr>
        <w:tc>
          <w:tcPr>
            <w:tcW w:type="dxa" w:w="17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02A33"/>
                <w:sz w:val="18"/>
              </w:rPr>
              <w:t>25–36 месяцев</w:t>
            </w:r>
          </w:p>
        </w:tc>
        <w:tc>
          <w:tcPr>
            <w:tcW w:type="dxa" w:w="761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02A33"/>
                <w:sz w:val="18"/>
              </w:rPr>
              <w:t>Типовой пакет; межрегиональное масштабирование; портфель следующих проектов.</w:t>
            </w:r>
          </w:p>
        </w:tc>
      </w:tr>
    </w:tbl>
    <w:p>
      <w:pPr>
        <w:spacing w:after="20"/>
      </w:pPr>
    </w:p>
    <w:p>
      <w:pPr>
        <w:pStyle w:val="Heading1"/>
      </w:pPr>
      <w:r>
        <w:t>12. Решения, необходимые для запуска</w:t>
      </w:r>
    </w:p>
    <w:p>
      <w:pPr>
        <w:pStyle w:val="ListNumber"/>
      </w:pPr>
      <w:r>
        <w:t>утвердить статус инициативной концепции и владельца подготовки материалов;</w:t>
      </w:r>
    </w:p>
    <w:p>
      <w:pPr>
        <w:pStyle w:val="ListNumber"/>
      </w:pPr>
      <w:r>
        <w:t>сформировать межотраслевую рабочую группу;</w:t>
      </w:r>
    </w:p>
    <w:p>
      <w:pPr>
        <w:pStyle w:val="ListNumber"/>
      </w:pPr>
      <w:r>
        <w:t>выбрать одну приоритетную категорию угроз и пилотную территорию;</w:t>
      </w:r>
    </w:p>
    <w:p>
      <w:pPr>
        <w:pStyle w:val="ListNumber"/>
      </w:pPr>
      <w:r>
        <w:t>подготовить паспорт угрозы и базовую линию;</w:t>
      </w:r>
    </w:p>
    <w:p>
      <w:pPr>
        <w:pStyle w:val="ListNumber"/>
      </w:pPr>
      <w:r>
        <w:t>разработать типовой пакет ECO-PPA и регламент верификации;</w:t>
      </w:r>
    </w:p>
    <w:p>
      <w:pPr>
        <w:pStyle w:val="ListNumber"/>
      </w:pPr>
      <w:r>
        <w:t>определить оператора пилота, источники ресурсов и владельцев данных;</w:t>
      </w:r>
    </w:p>
    <w:p>
      <w:pPr>
        <w:pStyle w:val="ListNumber"/>
      </w:pPr>
      <w:r>
        <w:t>провести правовую, технологическую, финансовую и информационную экспертизу;</w:t>
      </w:r>
    </w:p>
    <w:p>
      <w:pPr>
        <w:pStyle w:val="ListNumber"/>
      </w:pPr>
      <w:r>
        <w:t>после подтверждения пилота подготовить предложения по масштабированию.</w:t>
      </w:r>
    </w:p>
    <w:p>
      <w:pPr>
        <w:pStyle w:val="Heading1"/>
      </w:pPr>
      <w:r>
        <w:t>13. Предлагаемая формулировка инициативы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1" w:color="FFF4D6"/>
          <w:left w:val="single" w:sz="1" w:color="FFF4D6"/>
          <w:bottom w:val="single" w:sz="1" w:color="FFF4D6"/>
          <w:right w:val="single" w:sz="1" w:color="FFF4D6"/>
          <w:insideH w:val="single" w:sz="1" w:color="FFF4D6"/>
          <w:insideV w:val="single" w:sz="1" w:color="FFF4D6"/>
        </w:tblBorders>
      </w:tblPr>
      <w:tblGrid>
        <w:gridCol w:w="9360"/>
      </w:tblGrid>
      <w:tr>
        <w:trPr>
          <w:cantSplit/>
        </w:trPr>
        <w:tc>
          <w:tcPr>
            <w:tcW w:type="dxa" w:w="9360"/>
            <w:tcMar>
              <w:top w:w="80" w:type="dxa"/>
              <w:start w:w="120" w:type="dxa"/>
              <w:bottom w:w="80" w:type="dxa"/>
              <w:end w:w="120" w:type="dxa"/>
            </w:tcMar>
            <w:shd w:fill="FFF4D6"/>
          </w:tcPr>
          <w:p>
            <w:pPr>
              <w:spacing w:after="0"/>
            </w:pPr>
            <w:r>
              <w:rPr>
                <w:b/>
                <w:color w:val="16324F"/>
                <w:sz w:val="21"/>
              </w:rPr>
              <w:t xml:space="preserve">Проект предложения. </w:t>
            </w:r>
            <w:r>
              <w:rPr>
                <w:color w:val="202A33"/>
                <w:sz w:val="21"/>
              </w:rPr>
              <w:t>Создать пилотный механизм ECO-PPA для предупреждения комплексных экологических, энергетических, ресурсных и технологических угроз. Обеспечить согласование стратегического, аналитического, инициативного, делового, проектно-договорного и исполнительского контуров; определить территорию пилота, показатели снижения риска, ответственных участников, источники ресурсного обеспечения и порядок независимой верификации.</w:t>
            </w:r>
          </w:p>
        </w:tc>
      </w:tr>
    </w:tbl>
    <w:p>
      <w:pPr>
        <w:spacing w:after="20"/>
      </w:pPr>
    </w:p>
    <w:p>
      <w:pPr>
        <w:pStyle w:val="Heading1"/>
      </w:pPr>
      <w:r>
        <w:t>14. Риски реализации и условия допустимости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6" w:color="D5DCE3"/>
          <w:left w:val="single" w:sz="6" w:color="D5DCE3"/>
          <w:bottom w:val="single" w:sz="6" w:color="D5DCE3"/>
          <w:right w:val="single" w:sz="6" w:color="D5DCE3"/>
          <w:insideH w:val="single" w:sz="6" w:color="D5DCE3"/>
          <w:insideV w:val="single" w:sz="6" w:color="D5DCE3"/>
        </w:tblBorders>
      </w:tblPr>
      <w:tblGrid>
        <w:gridCol w:w="2450"/>
        <w:gridCol w:w="6910"/>
      </w:tblGrid>
      <w:tr>
        <w:trPr>
          <w:cantSplit/>
        </w:trPr>
        <w:tc>
          <w:tcPr>
            <w:tcW w:type="dxa" w:w="2450"/>
            <w:shd w:fill="16324F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Calibri" w:hAnsi="Calibri"/>
                <w:b/>
                <w:color w:val="FFFFFF"/>
                <w:sz w:val="18"/>
              </w:rPr>
              <w:t>Риск</w:t>
            </w:r>
          </w:p>
        </w:tc>
        <w:tc>
          <w:tcPr>
            <w:tcW w:type="dxa" w:w="6910"/>
            <w:shd w:fill="16324F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Calibri" w:hAnsi="Calibri"/>
                <w:b/>
                <w:color w:val="FFFFFF"/>
                <w:sz w:val="18"/>
              </w:rPr>
              <w:t>Условие управления</w:t>
            </w:r>
          </w:p>
        </w:tc>
      </w:tr>
      <w:tr>
        <w:trPr>
          <w:cantSplit/>
        </w:trPr>
        <w:tc>
          <w:tcPr>
            <w:tcW w:type="dxa" w:w="24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02A33"/>
                <w:sz w:val="18"/>
              </w:rPr>
              <w:t>Подмена полномочий</w:t>
            </w:r>
          </w:p>
        </w:tc>
        <w:tc>
          <w:tcPr>
            <w:tcW w:type="dxa" w:w="691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02A33"/>
                <w:sz w:val="18"/>
              </w:rPr>
              <w:t>Все роли государственных органов обозначаются как предложения до официального согласования.</w:t>
            </w:r>
          </w:p>
        </w:tc>
      </w:tr>
      <w:tr>
        <w:trPr>
          <w:cantSplit/>
        </w:trPr>
        <w:tc>
          <w:tcPr>
            <w:tcW w:type="dxa" w:w="2450"/>
            <w:shd w:fill="F8FAFC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02A33"/>
                <w:sz w:val="18"/>
              </w:rPr>
              <w:t>Недоказанный эффект</w:t>
            </w:r>
          </w:p>
        </w:tc>
        <w:tc>
          <w:tcPr>
            <w:tcW w:type="dxa" w:w="6910"/>
            <w:shd w:fill="F8FAFC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02A33"/>
                <w:sz w:val="18"/>
              </w:rPr>
              <w:t>Финансирование привязывается к исходной линии, методике расчёта и проверяемым показателям.</w:t>
            </w:r>
          </w:p>
        </w:tc>
      </w:tr>
      <w:tr>
        <w:trPr>
          <w:cantSplit/>
        </w:trPr>
        <w:tc>
          <w:tcPr>
            <w:tcW w:type="dxa" w:w="24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02A33"/>
                <w:sz w:val="18"/>
              </w:rPr>
              <w:t>Конфликт интересов</w:t>
            </w:r>
          </w:p>
        </w:tc>
        <w:tc>
          <w:tcPr>
            <w:tcW w:type="dxa" w:w="691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02A33"/>
                <w:sz w:val="18"/>
              </w:rPr>
              <w:t>Исполнитель проекта не должен единолично подтверждать собственный результат.</w:t>
            </w:r>
          </w:p>
        </w:tc>
      </w:tr>
      <w:tr>
        <w:trPr>
          <w:cantSplit/>
        </w:trPr>
        <w:tc>
          <w:tcPr>
            <w:tcW w:type="dxa" w:w="2450"/>
            <w:shd w:fill="F8FAFC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02A33"/>
                <w:sz w:val="18"/>
              </w:rPr>
              <w:t>Непрозрачная мобилизация средств</w:t>
            </w:r>
          </w:p>
        </w:tc>
        <w:tc>
          <w:tcPr>
            <w:tcW w:type="dxa" w:w="6910"/>
            <w:shd w:fill="F8FAFC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02A33"/>
                <w:sz w:val="18"/>
              </w:rPr>
              <w:t>Каждый финансовый инструмент проходит правовую и риск-экспертизу; доходность не гарантируется ТПП, АСИ или государственными органами.</w:t>
            </w:r>
          </w:p>
        </w:tc>
      </w:tr>
      <w:tr>
        <w:trPr>
          <w:cantSplit/>
        </w:trPr>
        <w:tc>
          <w:tcPr>
            <w:tcW w:type="dxa" w:w="24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02A33"/>
                <w:sz w:val="18"/>
              </w:rPr>
              <w:t>Информационная уязвимость</w:t>
            </w:r>
          </w:p>
        </w:tc>
        <w:tc>
          <w:tcPr>
            <w:tcW w:type="dxa" w:w="691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02A33"/>
                <w:sz w:val="18"/>
              </w:rPr>
              <w:t>Данные о критической инфраструктуре размещаются только в защищённом контуре.</w:t>
            </w:r>
          </w:p>
        </w:tc>
      </w:tr>
      <w:tr>
        <w:trPr>
          <w:cantSplit/>
        </w:trPr>
        <w:tc>
          <w:tcPr>
            <w:tcW w:type="dxa" w:w="2450"/>
            <w:shd w:fill="F8FAFC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02A33"/>
                <w:sz w:val="18"/>
              </w:rPr>
              <w:t>Технологическая зависимость</w:t>
            </w:r>
          </w:p>
        </w:tc>
        <w:tc>
          <w:tcPr>
            <w:tcW w:type="dxa" w:w="6910"/>
            <w:shd w:fill="F8FAFC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02A33"/>
                <w:sz w:val="18"/>
              </w:rPr>
              <w:t>Оцениваются локализация, ремонтопригодность, компоненты, программное обеспечение и кадровая обеспеченность.</w:t>
            </w:r>
          </w:p>
        </w:tc>
      </w:tr>
    </w:tbl>
    <w:p>
      <w:pPr>
        <w:spacing w:after="20"/>
      </w:pPr>
    </w:p>
    <w:p>
      <w:pPr>
        <w:pStyle w:val="Heading1"/>
      </w:pPr>
      <w:r>
        <w:t>15. Итоговая модель</w:t>
      </w:r>
    </w:p>
    <w:p>
      <w:r>
        <w:t>Совет Безопасности задаёт стратегическую рамку оценки угроз и межведомственной координации. ЭКВИЛИБРИУМ обеспечивает наблюдение, прогнозирование и контроль. АСИ формирует поток инициатив и механизм их масштабирования. ТПП РФ соединяет деловой спрос, промышленность, экспертизу и кооперацию. ECO-PPA превращает решение в систему исполнимых обязательств и ресурсного обеспечения. СПЕЦЗАЩИТА организует кооперационное исполнение.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1" w:color="E4F1EA"/>
          <w:left w:val="single" w:sz="1" w:color="E4F1EA"/>
          <w:bottom w:val="single" w:sz="1" w:color="E4F1EA"/>
          <w:right w:val="single" w:sz="1" w:color="E4F1EA"/>
          <w:insideH w:val="single" w:sz="1" w:color="E4F1EA"/>
          <w:insideV w:val="single" w:sz="1" w:color="E4F1EA"/>
        </w:tblBorders>
      </w:tblPr>
      <w:tblGrid>
        <w:gridCol w:w="9360"/>
      </w:tblGrid>
      <w:tr>
        <w:trPr>
          <w:cantSplit/>
        </w:trPr>
        <w:tc>
          <w:tcPr>
            <w:tcW w:type="dxa" w:w="9360"/>
            <w:tcMar>
              <w:top w:w="80" w:type="dxa"/>
              <w:start w:w="120" w:type="dxa"/>
              <w:bottom w:w="80" w:type="dxa"/>
              <w:end w:w="120" w:type="dxa"/>
            </w:tcMar>
            <w:shd w:fill="E4F1EA"/>
          </w:tcPr>
          <w:p>
            <w:pPr>
              <w:spacing w:after="0"/>
            </w:pPr>
            <w:r>
              <w:rPr>
                <w:b/>
                <w:color w:val="16324F"/>
                <w:sz w:val="21"/>
              </w:rPr>
              <w:t xml:space="preserve">Результат системы. </w:t>
            </w:r>
            <w:r>
              <w:rPr>
                <w:color w:val="202A33"/>
                <w:sz w:val="21"/>
              </w:rPr>
              <w:t>Предупреждённая угроза, защищённая территория, устойчивое жизнеобеспечение, подтверждённый эффект и готовая модель тиражирования.</w:t>
            </w:r>
          </w:p>
        </w:tc>
      </w:tr>
    </w:tbl>
    <w:p>
      <w:pPr>
        <w:spacing w:after="20"/>
      </w:pPr>
    </w:p>
    <w:p>
      <w:pPr>
        <w:pStyle w:val="Heading1"/>
      </w:pPr>
      <w:r>
        <w:t>Источники и нормативные ориентиры</w:t>
      </w:r>
    </w:p>
    <w:p>
      <w:pPr>
        <w:pStyle w:val="ListBullet"/>
      </w:pPr>
      <w:hyperlink r:id="rId11">
        <w:r>
          <w:rPr>
            <w:color w:val="2E74B5"/>
            <w:u w:val="single"/>
          </w:rPr>
          <w:t>Стратегия национальной безопасности Российской Федерации, Указ Президента РФ от 02.07.2021 № 400</w:t>
        </w:r>
      </w:hyperlink>
    </w:p>
    <w:p>
      <w:pPr>
        <w:pStyle w:val="ListBullet"/>
      </w:pPr>
      <w:hyperlink r:id="rId12">
        <w:r>
          <w:rPr>
            <w:color w:val="2E74B5"/>
            <w:u w:val="single"/>
          </w:rPr>
          <w:t>Доктрина энергетической безопасности Российской Федерации, Указ Президента РФ от 13.05.2019 № 216</w:t>
        </w:r>
      </w:hyperlink>
    </w:p>
    <w:p>
      <w:pPr>
        <w:pStyle w:val="ListBullet"/>
      </w:pPr>
      <w:hyperlink r:id="rId13">
        <w:r>
          <w:rPr>
            <w:color w:val="2E74B5"/>
            <w:u w:val="single"/>
          </w:rPr>
          <w:t>Межведомственные комиссии Совета Безопасности Российской Федерации</w:t>
        </w:r>
      </w:hyperlink>
    </w:p>
    <w:p>
      <w:pPr>
        <w:pStyle w:val="ListBullet"/>
      </w:pPr>
      <w:hyperlink r:id="rId14">
        <w:r>
          <w:rPr>
            <w:color w:val="2E74B5"/>
            <w:u w:val="single"/>
          </w:rPr>
          <w:t>Официальная информация о направлениях деятельности ТПП РФ</w:t>
        </w:r>
      </w:hyperlink>
    </w:p>
    <w:p>
      <w:pPr>
        <w:pStyle w:val="ListBullet"/>
      </w:pPr>
      <w:hyperlink r:id="rId15">
        <w:r>
          <w:rPr>
            <w:color w:val="2E74B5"/>
            <w:u w:val="single"/>
          </w:rPr>
          <w:t>Инициативы Агентства стратегических инициатив</w:t>
        </w:r>
      </w:hyperlink>
    </w:p>
    <w:sectPr w:rsidR="00FC693F" w:rsidRPr="0006063C" w:rsidSect="00034616">
      <w:headerReference w:type="default" r:id="rId9"/>
      <w:footerReference w:type="default" r:id="rId10"/>
      <w:pgSz w:w="12240" w:h="15840"/>
      <w:pgMar w:top="1123" w:right="1181" w:bottom="1123" w:left="1181" w:header="504" w:footer="50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color w:val="5E6B75"/>
        <w:sz w:val="16"/>
      </w:rPr>
      <w:t>Концептуальный документ  •  18 августа 2026 года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rPr>
        <w:b/>
        <w:color w:val="5E6B75"/>
        <w:sz w:val="17"/>
      </w:rPr>
      <w:t>ECO-PPA  |  ЭКВИЛИБРИУМ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64" w:lineRule="auto"/>
    </w:pPr>
    <w:rPr>
      <w:rFonts w:ascii="Calibri" w:hAnsi="Calibri"/>
      <w:color w:val="202A33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pageBreakBefore w:val="0"/>
      <w:spacing w:before="280" w:after="14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pageBreakBefore w:val="0"/>
      <w:spacing w:before="220" w:after="100"/>
      <w:outlineLvl w:val="1"/>
    </w:pPr>
    <w:rPr>
      <w:rFonts w:asciiTheme="majorHAnsi" w:eastAsiaTheme="majorEastAsia" w:hAnsiTheme="majorHAnsi" w:cstheme="majorBidi" w:ascii="Calibri" w:hAnsi="Calibri"/>
      <w:b/>
      <w:bCs/>
      <w:color w:val="2E74B5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pageBreakBefore w:val="0"/>
      <w:spacing w:before="160" w:after="60"/>
      <w:outlineLvl w:val="2"/>
    </w:pPr>
    <w:rPr>
      <w:rFonts w:asciiTheme="majorHAnsi" w:eastAsiaTheme="majorEastAsia" w:hAnsiTheme="majorHAnsi" w:cstheme="majorBidi" w:ascii="Calibri" w:hAnsi="Calibri"/>
      <w:b/>
      <w:bCs/>
      <w:color w:val="16324F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pageBreakBefore w:val="0"/>
      <w:pBdr>
        <w:bottom w:val="single" w:sz="8" w:space="4" w:color="4F81BD" w:themeColor="accent1"/>
      </w:pBdr>
      <w:spacing w:after="120" w:line="240" w:lineRule="auto" w:before="0"/>
      <w:contextualSpacing/>
    </w:pPr>
    <w:rPr>
      <w:rFonts w:asciiTheme="majorHAnsi" w:eastAsiaTheme="majorEastAsia" w:hAnsiTheme="majorHAnsi" w:cstheme="majorBidi" w:ascii="Calibri" w:hAnsi="Calibri"/>
      <w:b/>
      <w:color w:val="16324F"/>
      <w:spacing w:val="5"/>
      <w:kern w:val="28"/>
      <w:sz w:val="5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keepNext/>
      <w:pageBreakBefore w:val="0"/>
      <w:numPr>
        <w:ilvl w:val="1"/>
      </w:numPr>
      <w:spacing w:before="0" w:after="240"/>
    </w:pPr>
    <w:rPr>
      <w:rFonts w:asciiTheme="majorHAnsi" w:eastAsiaTheme="majorEastAsia" w:hAnsiTheme="majorHAnsi" w:cstheme="majorBidi" w:ascii="Calibri" w:hAnsi="Calibri"/>
      <w:b w:val="0"/>
      <w:i/>
      <w:iCs/>
      <w:color w:val="5E6B75"/>
      <w:spacing w:val="15"/>
      <w:sz w:val="26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keepNext w:val="0"/>
      <w:numPr>
        <w:numId w:val="1"/>
      </w:numPr>
      <w:spacing w:after="80" w:line="264" w:lineRule="auto"/>
      <w:ind w:left="720" w:hanging="360"/>
      <w:contextualSpacing/>
    </w:pPr>
    <w:rPr>
      <w:rFonts w:ascii="Calibri" w:hAnsi="Calibri"/>
      <w:sz w:val="21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keepNext w:val="0"/>
      <w:numPr>
        <w:numId w:val="5"/>
      </w:numPr>
      <w:spacing w:after="80" w:line="264" w:lineRule="auto"/>
      <w:ind w:left="720" w:hanging="360"/>
      <w:contextualSpacing/>
    </w:pPr>
    <w:rPr>
      <w:rFonts w:ascii="Calibri" w:hAnsi="Calibri"/>
      <w:sz w:val="21"/>
    </w:r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LeadCallout">
    <w:name w:val="Lead Callout"/>
    <w:basedOn w:val="Normal"/>
    <w:pPr>
      <w:spacing w:before="100" w:after="180"/>
    </w:pPr>
    <w:rPr>
      <w:rFonts w:ascii="Calibri" w:hAnsi="Calibri"/>
      <w:b/>
      <w:color w:val="16324F"/>
      <w:sz w:val="22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hyperlink" Target="https://www.kremlin.ru/acts/bank/47046" TargetMode="External"/><Relationship Id="rId12" Type="http://schemas.openxmlformats.org/officeDocument/2006/relationships/hyperlink" Target="https://www.scrf.gov.ru/security/economic/energy_doc/" TargetMode="External"/><Relationship Id="rId13" Type="http://schemas.openxmlformats.org/officeDocument/2006/relationships/hyperlink" Target="https://www.scrf.gov.ru/council/commission/" TargetMode="External"/><Relationship Id="rId14" Type="http://schemas.openxmlformats.org/officeDocument/2006/relationships/hyperlink" Target="https://tpprf.ru/ru/about/" TargetMode="External"/><Relationship Id="rId15" Type="http://schemas.openxmlformats.org/officeDocument/2006/relationships/hyperlink" Target="https://asi.ru/initiative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ECO-PPA — архитектура национальной безопасности</dc:title>
  <dc:subject>Концепция межведомственной и государственно-частной системы предупреждения угроз</dc:subject>
  <dc:creator>Соколов Сергей Леонидович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