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before="0" w:after="120"/>
        <w:widowControl w:val="1"/>
      </w:pPr>
      <w:r>
        <w:rPr>
          <w:rFonts w:ascii="Arial" w:hAnsi="Arial" w:eastAsia="Arial"/>
          <w:b/>
          <w:i w:val="0"/>
          <w:color w:val="2E5B88"/>
          <w:sz w:val="17"/>
          <w:lang w:val="ru-RU"/>
        </w:rPr>
        <w:t>ОФИЦИАЛЬНОЕ ОБРАЩЕНИЕ · 26 АВГУСТА 2026 ГОДА</w:t>
      </w:r>
    </w:p>
    <w:p>
      <w:pPr>
        <w:spacing w:after="280"/>
        <w:jc w:val="right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>Министру обороны Российской Федерации</w:t>
        <w:br/>
      </w:r>
      <w:r>
        <w:rPr>
          <w:rFonts w:ascii="Arial" w:hAnsi="Arial" w:eastAsia="Arial"/>
          <w:b/>
          <w:i w:val="0"/>
          <w:color w:val="172B3A"/>
          <w:sz w:val="22"/>
          <w:lang w:val="ru-RU"/>
        </w:rPr>
        <w:t>Белоусову Андрею Рэмовичу</w:t>
      </w:r>
    </w:p>
    <w:p>
      <w:pPr>
        <w:spacing w:after="360"/>
        <w:jc w:val="right"/>
        <w:widowControl w:val="1"/>
      </w:pPr>
      <w:r>
        <w:rPr>
          <w:rFonts w:ascii="Arial" w:hAnsi="Arial" w:eastAsia="Arial"/>
          <w:b w:val="0"/>
          <w:i w:val="0"/>
          <w:color w:val="5F6B76"/>
          <w:sz w:val="21"/>
          <w:lang w:val="ru-RU"/>
        </w:rPr>
        <w:t>от Соколова Сергея Леонидовича</w:t>
        <w:br/>
      </w:r>
      <w:r>
        <w:rPr>
          <w:rFonts w:ascii="Arial" w:hAnsi="Arial" w:eastAsia="Arial"/>
          <w:b w:val="0"/>
          <w:i w:val="0"/>
          <w:color w:val="5F6B76"/>
          <w:sz w:val="21"/>
          <w:lang w:val="ru-RU"/>
        </w:rPr>
        <w:t>инициатора концепции «ЭКВИЛИБРИУМ»</w:t>
        <w:br/>
      </w:r>
      <w:r>
        <w:rPr>
          <w:rFonts w:ascii="Arial" w:hAnsi="Arial" w:eastAsia="Arial"/>
          <w:b w:val="0"/>
          <w:i w:val="0"/>
          <w:color w:val="5F6B76"/>
          <w:sz w:val="21"/>
          <w:lang w:val="ru-RU"/>
        </w:rPr>
        <w:t>e-mail: severa70@mail.ru</w:t>
      </w:r>
    </w:p>
    <w:p>
      <w:pPr>
        <w:keepNext/>
        <w:spacing w:before="0" w:after="80"/>
        <w:jc w:val="left"/>
        <w:widowControl w:val="1"/>
      </w:pPr>
      <w:r>
        <w:rPr>
          <w:rFonts w:ascii="Arial" w:hAnsi="Arial" w:eastAsia="Arial"/>
          <w:b/>
          <w:i w:val="0"/>
          <w:color w:val="17365D"/>
          <w:sz w:val="44"/>
          <w:lang w:val="ru-RU"/>
        </w:rPr>
        <w:t>О рассмотрении проекта «Доктрина Победы»</w:t>
      </w:r>
    </w:p>
    <w:p>
      <w:pPr>
        <w:keepNext/>
        <w:spacing w:before="0" w:after="280"/>
        <w:jc w:val="left"/>
        <w:widowControl w:val="1"/>
      </w:pPr>
      <w:r>
        <w:rPr>
          <w:rFonts w:ascii="Arial" w:hAnsi="Arial" w:eastAsia="Arial"/>
          <w:b w:val="0"/>
          <w:i w:val="0"/>
          <w:color w:val="5F6B76"/>
          <w:sz w:val="25"/>
          <w:lang w:val="ru-RU"/>
        </w:rPr>
        <w:t>Система стратегических решений и балансов для предупреждения угроз, обеспечения суверенитета и устойчивого развития России</w:t>
      </w:r>
    </w:p>
    <w:p>
      <w:pPr>
        <w:spacing w:before="120" w:after="160" w:line="269" w:lineRule="auto"/>
        <w:ind w:left="173" w:right="72"/>
        <w:shd w:fill="E8EEF5"/>
        <w:pBdr>
          <w:left w:val="single" w:sz="18" w:space="8" w:color="17365D"/>
        </w:pBdr>
        <w:widowControl w:val="1"/>
      </w:pPr>
      <w:r>
        <w:rPr>
          <w:rFonts w:ascii="Arial" w:hAnsi="Arial" w:eastAsia="Arial"/>
          <w:b/>
          <w:i w:val="0"/>
          <w:color w:val="17365D"/>
          <w:sz w:val="18"/>
          <w:lang w:val="ru-RU"/>
        </w:rPr>
        <w:t xml:space="preserve">КЛЮЧЕВОЙ ТЕЗИС  </w:t>
      </w:r>
      <w:r>
        <w:rPr>
          <w:rFonts w:ascii="Arial" w:hAnsi="Arial" w:eastAsia="Arial"/>
          <w:b w:val="0"/>
          <w:i w:val="0"/>
          <w:color w:val="172B3A"/>
          <w:sz w:val="21"/>
          <w:lang w:val="ru-RU"/>
        </w:rPr>
        <w:t>Победа — это отсутствие необходимости войны: такое состояние России, при котором её невозможно принудить к отказу от суверенитета, остановить в развитии или втянуть в войну на чужих условиях.</w:t>
      </w:r>
    </w:p>
    <w:p>
      <w:pPr>
        <w:spacing w:before="160" w:after="200"/>
        <w:widowControl w:val="1"/>
      </w:pPr>
      <w:r>
        <w:rPr>
          <w:rFonts w:ascii="Arial" w:hAnsi="Arial" w:eastAsia="Arial"/>
          <w:b/>
          <w:i w:val="0"/>
          <w:color w:val="172B3A"/>
          <w:sz w:val="23"/>
          <w:lang w:val="ru-RU"/>
        </w:rPr>
        <w:t>Уважаемый Андрей Рэмович!</w:t>
      </w:r>
    </w:p>
    <w:p>
      <w:p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Направляю для предварительного экспертного рассмотрения проект концептуального документа «Доктрина Победы» и связанные с ним приложения, объединяющие ранее разработанные решения по стратегическим балансам, раннему предупреждению, технологическому суверенитету, межотраслевой кооперации и доказательной системе управления результатами.</w:t>
      </w:r>
    </w:p>
    <w:p>
      <w:p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Предлагаемый подход исходит из того, что современная победа определяется не только способностью отразить вооружённую агрессию, но и способностью государства заранее обнаруживать критические дисбалансы, сохранять непрерывность управления и инфраструктуры, воспроизводить технологии и ресурсы, не допускать срыва национальных целей и лишать потенциального противника возможности достичь политического результата силовым или несиловым давлением.</w:t>
      </w:r>
    </w:p>
    <w:p>
      <w:p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Эта логика соответствует поставленной Президентом Российской Федерации задаче встроить экономику Министерства обороны и силового блока в общую экономику страны, связав оборонную устойчивость с инновационным развитием промышленности, а также положениям законодательства о безопасности и стратегическом планировании, предусматривающим прогнозирование угроз, сбалансированность, непрерывность планирования и цифровую поддержку государственного управления.</w:t>
      </w:r>
    </w:p>
    <w:p>
      <w:pPr>
        <w:pStyle w:val="Heading2"/>
        <w:widowControl w:val="1"/>
      </w:pPr>
      <w:r>
        <w:rPr>
          <w:lang w:val="ru-RU"/>
        </w:rPr>
        <w:t>Суть предложения</w:t>
      </w:r>
    </w:p>
    <w:p>
      <w:pPr>
        <w:numPr>
          <w:ilvl w:val="0"/>
          <w:numId w:val="10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сформировать общую методологию оценки стратегических решений через взаимосвязанные балансы «угрозы — цели — ресурсы — способности — сроки — показатели — доказательства»;</w:t>
      </w:r>
    </w:p>
    <w:p>
      <w:pPr>
        <w:numPr>
          <w:ilvl w:val="0"/>
          <w:numId w:val="10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создать опытный аналитический контур поддержки решений на базе авторской архитектуры «ЭКВИЛИБРИУМ», не подменяющий государственные информационные системы и полномочия должностных лиц;</w:t>
      </w:r>
    </w:p>
    <w:p>
      <w:pPr>
        <w:numPr>
          <w:ilvl w:val="0"/>
          <w:numId w:val="10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ввести единый паспорт стратегического решения, реестр доказательств, независимую валидацию и обязательные ворота допуска: результат — риск — экономика полного жизненного цикла;</w:t>
      </w:r>
    </w:p>
    <w:p>
      <w:pPr>
        <w:numPr>
          <w:ilvl w:val="0"/>
          <w:numId w:val="10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проверить модель на двух ограниченных пилотах: одном гражданском территориальном и одном защищённом ведомственном либо двойного назначения;</w:t>
      </w:r>
    </w:p>
    <w:p>
      <w:pPr>
        <w:numPr>
          <w:ilvl w:val="0"/>
          <w:numId w:val="10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масштабировать только те решения, которые подтвердили эффект, безопасность, законность, ресурсную обеспеченность и воспроизводимость.</w:t>
      </w:r>
    </w:p>
    <w:p>
      <w:pPr>
        <w:pStyle w:val="Heading2"/>
        <w:widowControl w:val="1"/>
      </w:pPr>
      <w:r>
        <w:rPr>
          <w:lang w:val="ru-RU"/>
        </w:rPr>
        <w:t>Предлагаемая роль Министерства обороны Российской Федерации</w:t>
      </w:r>
    </w:p>
    <w:p>
      <w:p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Министерству обороны предлагается не функция управления гражданскими отраслями и не передача данных в открытый контур, а участие в определении требований оборонной устойчивости, технологической и производственной готовности, непрерывности критических функций и защищённого обмена только теми агрегированными показателями, которые необходимы для межведомственной координации.</w:t>
      </w:r>
    </w:p>
    <w:p>
      <w:pPr>
        <w:spacing w:before="120" w:after="160" w:line="269" w:lineRule="auto"/>
        <w:ind w:left="173" w:right="72"/>
        <w:shd w:fill="FFF4D6"/>
        <w:pBdr>
          <w:left w:val="single" w:sz="18" w:space="8" w:color="9A6D00"/>
        </w:pBdr>
        <w:widowControl w:val="1"/>
      </w:pPr>
      <w:r>
        <w:rPr>
          <w:rFonts w:ascii="Arial" w:hAnsi="Arial" w:eastAsia="Arial"/>
          <w:b/>
          <w:i w:val="0"/>
          <w:color w:val="9A6D00"/>
          <w:sz w:val="18"/>
          <w:lang w:val="ru-RU"/>
        </w:rPr>
        <w:t xml:space="preserve">РАЗГРАНИЧЕНИЕ  </w:t>
      </w:r>
      <w:r>
        <w:rPr>
          <w:rFonts w:ascii="Arial" w:hAnsi="Arial" w:eastAsia="Arial"/>
          <w:b w:val="0"/>
          <w:i w:val="0"/>
          <w:color w:val="172B3A"/>
          <w:sz w:val="21"/>
          <w:lang w:val="ru-RU"/>
        </w:rPr>
        <w:t>Гражданский и оборонный контуры организационно и информационно разделяются. Сведения, составляющие государственную тайну, оперативное и мобилизационное планирование остаются исключительно в ведении уполномоченных государственных структур.</w:t>
      </w:r>
    </w:p>
    <w:p>
      <w:pPr>
        <w:pStyle w:val="Heading2"/>
        <w:widowControl w:val="1"/>
      </w:pPr>
      <w:r>
        <w:rPr>
          <w:lang w:val="ru-RU"/>
        </w:rPr>
        <w:t>Прошу рассмотреть возможность</w:t>
      </w:r>
    </w:p>
    <w:p>
      <w:pPr>
        <w:numPr>
          <w:ilvl w:val="0"/>
          <w:numId w:val="11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определить профильное подразделение или ответственное должностное лицо для предварительного изучения материалов;</w:t>
      </w:r>
    </w:p>
    <w:p>
      <w:pPr>
        <w:numPr>
          <w:ilvl w:val="0"/>
          <w:numId w:val="11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провести междисциплинарную экспертную оценку в части оборонной устойчивости, технологического суверенитета, экономики полного жизненного цикла и межведомственного планирования;</w:t>
      </w:r>
    </w:p>
    <w:p>
      <w:pPr>
        <w:numPr>
          <w:ilvl w:val="0"/>
          <w:numId w:val="11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рассмотреть целесообразность временной межведомственной экспертной группы без образования нового органа управления;</w:t>
      </w:r>
    </w:p>
    <w:p>
      <w:pPr>
        <w:numPr>
          <w:ilvl w:val="0"/>
          <w:numId w:val="11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определить одно гражданское и одно защищённое пилотное направление с заранее установленными границами, показателями и условиями остановки;</w:t>
      </w:r>
    </w:p>
    <w:p>
      <w:pPr>
        <w:numPr>
          <w:ilvl w:val="0"/>
          <w:numId w:val="11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провести рабочую встречу для представления архитектуры, перечня стратегических решений, системы балансов и протокола пилота.</w:t>
      </w:r>
    </w:p>
    <w:p>
      <w:p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На данном этапе не предлагается утверждать «Доктрину Победы» как официальный документ, присваивать проекту государственный статус либо принимать обязательства по масштабированию. Предлагается проверить саму методологию на ограниченном, обратимом и аудируемом пилоте.</w:t>
      </w:r>
    </w:p>
    <w:p>
      <w:pPr>
        <w:pStyle w:val="Heading2"/>
        <w:widowControl w:val="1"/>
      </w:pPr>
      <w:r>
        <w:rPr>
          <w:lang w:val="ru-RU"/>
        </w:rPr>
        <w:t>Состав приложений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00"/>
        <w:gridCol w:w="3100"/>
        <w:gridCol w:w="5660"/>
      </w:tblGrid>
      <w:tr>
        <w:trPr>
          <w:tblHeader w:val="true"/>
        </w:trPr>
        <w:tc>
          <w:tcPr>
            <w:tcW w:type="dxa" w:w="600"/>
            <w:shd w:fill="F2F4F7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/>
                <w:i w:val="0"/>
                <w:color w:val="172B3A"/>
                <w:sz w:val="17"/>
              </w:rPr>
              <w:t>№</w:t>
            </w:r>
          </w:p>
        </w:tc>
        <w:tc>
          <w:tcPr>
            <w:tcW w:type="dxa" w:w="3100"/>
            <w:shd w:fill="F2F4F7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/>
                <w:i w:val="0"/>
                <w:color w:val="172B3A"/>
                <w:sz w:val="17"/>
              </w:rPr>
              <w:t>Документ</w:t>
            </w:r>
          </w:p>
        </w:tc>
        <w:tc>
          <w:tcPr>
            <w:tcW w:type="dxa" w:w="5660"/>
            <w:shd w:fill="F2F4F7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/>
                <w:i w:val="0"/>
                <w:color w:val="172B3A"/>
                <w:sz w:val="17"/>
              </w:rPr>
              <w:t>Назначение</w:t>
            </w:r>
          </w:p>
        </w:tc>
      </w:tr>
      <w:tr>
        <w:tc>
          <w:tcPr>
            <w:tcW w:type="dxa" w:w="60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7"/>
              </w:rPr>
              <w:t>1</w:t>
            </w:r>
          </w:p>
        </w:tc>
        <w:tc>
          <w:tcPr>
            <w:tcW w:type="dxa" w:w="310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7"/>
              </w:rPr>
              <w:t>Проект концептуального документа «Доктрина Победы»</w:t>
            </w:r>
          </w:p>
        </w:tc>
        <w:tc>
          <w:tcPr>
            <w:tcW w:type="dxa" w:w="566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7"/>
              </w:rPr>
              <w:t>Цель, принципы, архитектура, границы и критерии Победы</w:t>
            </w:r>
          </w:p>
        </w:tc>
      </w:tr>
      <w:tr>
        <w:tc>
          <w:tcPr>
            <w:tcW w:type="dxa" w:w="60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7"/>
              </w:rPr>
              <w:t>2</w:t>
            </w:r>
          </w:p>
        </w:tc>
        <w:tc>
          <w:tcPr>
            <w:tcW w:type="dxa" w:w="310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7"/>
              </w:rPr>
              <w:t>Суть стратегических решений</w:t>
            </w:r>
          </w:p>
        </w:tc>
        <w:tc>
          <w:tcPr>
            <w:tcW w:type="dxa" w:w="566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7"/>
              </w:rPr>
              <w:t>Единый свод 19 системных решений и их первый практический шаг</w:t>
            </w:r>
          </w:p>
        </w:tc>
      </w:tr>
      <w:tr>
        <w:tc>
          <w:tcPr>
            <w:tcW w:type="dxa" w:w="60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7"/>
              </w:rPr>
              <w:t>3</w:t>
            </w:r>
          </w:p>
        </w:tc>
        <w:tc>
          <w:tcPr>
            <w:tcW w:type="dxa" w:w="310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7"/>
              </w:rPr>
              <w:t>Система стратегических балансов</w:t>
            </w:r>
          </w:p>
        </w:tc>
        <w:tc>
          <w:tcPr>
            <w:tcW w:type="dxa" w:w="566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7"/>
              </w:rPr>
              <w:t>Методика показателей, доказательности, рисков и допуска решений</w:t>
            </w:r>
          </w:p>
        </w:tc>
      </w:tr>
      <w:tr>
        <w:tc>
          <w:tcPr>
            <w:tcW w:type="dxa" w:w="60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7"/>
              </w:rPr>
              <w:t>4</w:t>
            </w:r>
          </w:p>
        </w:tc>
        <w:tc>
          <w:tcPr>
            <w:tcW w:type="dxa" w:w="310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7"/>
              </w:rPr>
              <w:t>Пилот и проект решений</w:t>
            </w:r>
          </w:p>
        </w:tc>
        <w:tc>
          <w:tcPr>
            <w:tcW w:type="dxa" w:w="566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7"/>
              </w:rPr>
              <w:t>Этапы 100 дней — 60 месяцев и формулировки для рабочего рассмотрения</w:t>
            </w:r>
          </w:p>
        </w:tc>
      </w:tr>
    </w:tbl>
    <w:p>
      <w:pPr>
        <w:spacing w:after="20"/>
        <w:widowControl w:val="1"/>
      </w:pPr>
    </w:p>
    <w:p>
      <w:pPr>
        <w:spacing w:before="360" w:after="40"/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С уважением,</w:t>
      </w:r>
    </w:p>
    <w:p>
      <w:pPr>
        <w:spacing w:before="0" w:after="4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>Сергей Леонидович Соколов</w:t>
      </w:r>
    </w:p>
    <w:p>
      <w:pPr>
        <w:spacing w:before="0" w:after="0"/>
        <w:widowControl w:val="1"/>
      </w:pPr>
      <w:r>
        <w:rPr>
          <w:rFonts w:ascii="Arial" w:hAnsi="Arial" w:eastAsia="Arial"/>
          <w:b w:val="0"/>
          <w:i w:val="0"/>
          <w:color w:val="5F6B76"/>
          <w:sz w:val="19"/>
          <w:lang w:val="ru-RU"/>
        </w:rPr>
        <w:t>инициатор концепции «ЭКВИЛИБРИУМ» · SOKOL EQUILIBRIS</w:t>
      </w:r>
    </w:p>
    <w:p>
      <w:pPr>
        <w:widowControl w:val="1"/>
      </w:pPr>
      <w:r>
        <w:rPr>
          <w:lang w:val="ru-RU"/>
        </w:rPr>
        <w:br w:type="page"/>
      </w:r>
    </w:p>
    <w:p>
      <w:pPr>
        <w:keepNext/>
        <w:spacing w:before="0" w:after="120"/>
        <w:widowControl w:val="1"/>
      </w:pPr>
      <w:r>
        <w:rPr>
          <w:rFonts w:ascii="Arial" w:hAnsi="Arial" w:eastAsia="Arial"/>
          <w:b/>
          <w:i w:val="0"/>
          <w:color w:val="2E5B88"/>
          <w:sz w:val="17"/>
          <w:lang w:val="ru-RU"/>
        </w:rPr>
        <w:t>ПРИЛОЖЕНИЕ 1</w:t>
      </w:r>
    </w:p>
    <w:p>
      <w:pPr>
        <w:keepNext/>
        <w:spacing w:before="0" w:after="120"/>
        <w:jc w:val="left"/>
        <w:widowControl w:val="1"/>
      </w:pPr>
      <w:r>
        <w:rPr>
          <w:rFonts w:ascii="Arial" w:hAnsi="Arial" w:eastAsia="Arial"/>
          <w:b/>
          <w:i w:val="0"/>
          <w:color w:val="17365D"/>
          <w:sz w:val="50"/>
          <w:lang w:val="ru-RU"/>
        </w:rPr>
        <w:t>ДОКТРИНА ПОБЕДЫ</w:t>
      </w:r>
    </w:p>
    <w:p>
      <w:pPr>
        <w:keepNext/>
        <w:spacing w:before="0" w:after="320"/>
        <w:jc w:val="left"/>
        <w:widowControl w:val="1"/>
      </w:pPr>
      <w:r>
        <w:rPr>
          <w:rFonts w:ascii="Arial" w:hAnsi="Arial" w:eastAsia="Arial"/>
          <w:b w:val="0"/>
          <w:i w:val="0"/>
          <w:color w:val="5F6B76"/>
          <w:sz w:val="25"/>
          <w:lang w:val="ru-RU"/>
        </w:rPr>
        <w:t>Проект концептуального документа о предупреждении войны, стратегической устойчивости и созидательном превосходстве России</w:t>
      </w:r>
    </w:p>
    <w:p>
      <w:pPr>
        <w:spacing w:before="120" w:after="160" w:line="269" w:lineRule="auto"/>
        <w:ind w:left="173" w:right="72"/>
        <w:shd w:fill="E8EEF5"/>
        <w:pBdr>
          <w:left w:val="single" w:sz="18" w:space="8" w:color="2E5B88"/>
        </w:pBdr>
        <w:widowControl w:val="1"/>
      </w:pPr>
      <w:r>
        <w:rPr>
          <w:rFonts w:ascii="Arial" w:hAnsi="Arial" w:eastAsia="Arial"/>
          <w:b/>
          <w:i w:val="0"/>
          <w:color w:val="2E5B88"/>
          <w:sz w:val="18"/>
          <w:lang w:val="ru-RU"/>
        </w:rPr>
        <w:t xml:space="preserve">СТАТУС  </w:t>
      </w:r>
      <w:r>
        <w:rPr>
          <w:rFonts w:ascii="Arial" w:hAnsi="Arial" w:eastAsia="Arial"/>
          <w:b w:val="0"/>
          <w:i w:val="0"/>
          <w:color w:val="172B3A"/>
          <w:sz w:val="21"/>
          <w:lang w:val="ru-RU"/>
        </w:rPr>
        <w:t>Проект концептуального документа для предварительной экспертной оценки. Не является нормативным актом и не подменяет действующие документы стратегического планирования Российской Федерации.</w:t>
      </w:r>
    </w:p>
    <w:p>
      <w:pPr>
        <w:pStyle w:val="Heading1"/>
        <w:widowControl w:val="1"/>
      </w:pPr>
      <w:r>
        <w:rPr>
          <w:lang w:val="ru-RU"/>
        </w:rPr>
        <w:t>1. Основной тезис</w:t>
      </w:r>
    </w:p>
    <w:p>
      <w:pPr>
        <w:spacing w:before="120" w:after="160" w:line="269" w:lineRule="auto"/>
        <w:ind w:left="173" w:right="72"/>
        <w:shd w:fill="E8EEF5"/>
        <w:pBdr>
          <w:left w:val="single" w:sz="18" w:space="8" w:color="17365D"/>
        </w:pBdr>
        <w:widowControl w:val="1"/>
      </w:pPr>
      <w:r>
        <w:rPr>
          <w:rFonts w:ascii="Arial" w:hAnsi="Arial" w:eastAsia="Arial"/>
          <w:b/>
          <w:i w:val="0"/>
          <w:color w:val="17365D"/>
          <w:sz w:val="18"/>
          <w:lang w:val="ru-RU"/>
        </w:rPr>
        <w:t xml:space="preserve">ФОРМУЛА  </w:t>
      </w:r>
      <w:r>
        <w:rPr>
          <w:rFonts w:ascii="Arial" w:hAnsi="Arial" w:eastAsia="Arial"/>
          <w:b w:val="0"/>
          <w:i w:val="0"/>
          <w:color w:val="172B3A"/>
          <w:sz w:val="21"/>
          <w:lang w:val="ru-RU"/>
        </w:rPr>
        <w:t>Победа — это отсутствие необходимости войны.</w:t>
      </w:r>
    </w:p>
    <w:p>
      <w:p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В современном понимании Победа состоит не только в способности отразить вооружённую агрессию, но прежде всего в создании такого состояния государства, общества, экономики, науки и инфраструктуры, при котором внешнее давление не приводит к утрате суверенитета, внутренняя уязвимость не перерастает в системный кризис, а потенциальная агрессия становится бессмысленной и неприемлемо затратной.</w:t>
      </w:r>
    </w:p>
    <w:p>
      <w:p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Военная сила при этом остаётся необходимой гарантией безопасности. Доктрина не противопоставляет предупреждение обороне: она связывает сдерживание, готовность, технологическое развитие, экономическую обеспеченность и жизнеспособность страны в единую систему.</w:t>
      </w:r>
    </w:p>
    <w:p>
      <w:pPr>
        <w:pStyle w:val="Heading1"/>
        <w:widowControl w:val="1"/>
      </w:pPr>
      <w:r>
        <w:rPr>
          <w:lang w:val="ru-RU"/>
        </w:rPr>
        <w:t>2. Статус и предмет</w:t>
      </w:r>
    </w:p>
    <w:p>
      <w:p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«Доктрина Победы» предлагается как межотраслевая концептуальная основа, дополняющая действующие документы стратегического планирования Российской Федерации. Она не заменяет военное планирование, не вмешивается в оперативное управление и не создаёт параллельную вертикаль власти.</w:t>
      </w:r>
    </w:p>
    <w:p>
      <w:pPr>
        <w:spacing w:before="0" w:after="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Предмет: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выявление и удержание стратегических балансов Российской Федерации, обеспечивающих суверенитет, безопасность, устойчивость и непрерывность развития.</w:t>
      </w:r>
    </w:p>
    <w:p>
      <w:pPr>
        <w:spacing w:before="0" w:after="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Объект управления: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не отдельная организация, а связанная система целей, угроз, институтов, территорий, технологий, ресурсов, инфраструктуры, решений и подтверждённых результатов.</w:t>
      </w:r>
    </w:p>
    <w:p>
      <w:pPr>
        <w:spacing w:before="0" w:after="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Граница: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искусственный интеллект, цифровые модели и реестры поддерживают решение, но не получают властных полномочий и не отменяют персональную ответственность.</w:t>
      </w:r>
    </w:p>
    <w:p>
      <w:pPr>
        <w:pStyle w:val="Heading1"/>
        <w:widowControl w:val="1"/>
      </w:pPr>
      <w:r>
        <w:rPr>
          <w:lang w:val="ru-RU"/>
        </w:rPr>
        <w:t>3. Цель и задачи</w:t>
      </w:r>
    </w:p>
    <w:p>
      <w:p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Цель Доктрины — создать постоянно действующий механизм, который снижает вероятность войны, повышает цену внешнего принуждения, сохраняет свободу стратегического выбора России и обеспечивает восстановление и продолжение развития при любом допустимом сценарии.</w:t>
      </w:r>
    </w:p>
    <w:p>
      <w:pPr>
        <w:numPr>
          <w:ilvl w:val="0"/>
          <w:numId w:val="12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заблаговременно выявлять критические угрозы, уязвимости и возможности;</w:t>
      </w:r>
    </w:p>
    <w:p>
      <w:pPr>
        <w:numPr>
          <w:ilvl w:val="0"/>
          <w:numId w:val="12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оценивать каскадное влияние решений на безопасность, экономику, общество и природные системы;</w:t>
      </w:r>
    </w:p>
    <w:p>
      <w:pPr>
        <w:numPr>
          <w:ilvl w:val="0"/>
          <w:numId w:val="12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формировать сравнимые варианты государственных решений с указанием неопределённости;</w:t>
      </w:r>
    </w:p>
    <w:p>
      <w:pPr>
        <w:numPr>
          <w:ilvl w:val="0"/>
          <w:numId w:val="12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переводить решения в обеспеченные ресурсами программы, проекты и контрольные точки;</w:t>
      </w:r>
    </w:p>
    <w:p>
      <w:pPr>
        <w:numPr>
          <w:ilvl w:val="0"/>
          <w:numId w:val="12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измерять фактический результат, предотвращённый ущерб и остаточный риск;</w:t>
      </w:r>
    </w:p>
    <w:p>
      <w:pPr>
        <w:numPr>
          <w:ilvl w:val="0"/>
          <w:numId w:val="12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сохранять знания об удачных и неудачных решениях в реестре для следующего цикла.</w:t>
      </w:r>
    </w:p>
    <w:p>
      <w:pPr>
        <w:pStyle w:val="Heading1"/>
        <w:widowControl w:val="1"/>
      </w:pPr>
      <w:r>
        <w:rPr>
          <w:lang w:val="ru-RU"/>
        </w:rPr>
        <w:t>4. Образ Победы</w:t>
      </w:r>
    </w:p>
    <w:p>
      <w:p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Победа достигается, если одновременно обеспечены следующие состояния:</w:t>
      </w:r>
    </w:p>
    <w:p>
      <w:pPr>
        <w:numPr>
          <w:ilvl w:val="0"/>
          <w:numId w:val="13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защищённый суверенитет и гарантированное стратегическое сдерживание;</w:t>
      </w:r>
    </w:p>
    <w:p>
      <w:pPr>
        <w:numPr>
          <w:ilvl w:val="0"/>
          <w:numId w:val="13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устойчивое государственное управление и правовая определённость;</w:t>
      </w:r>
    </w:p>
    <w:p>
      <w:pPr>
        <w:numPr>
          <w:ilvl w:val="0"/>
          <w:numId w:val="13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технологическая, производственная и кадровая самостоятельность по критическим функциям;</w:t>
      </w:r>
    </w:p>
    <w:p>
      <w:pPr>
        <w:numPr>
          <w:ilvl w:val="0"/>
          <w:numId w:val="13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жизнеспособная демография, здоровье населения и общественная солидарность;</w:t>
      </w:r>
    </w:p>
    <w:p>
      <w:pPr>
        <w:numPr>
          <w:ilvl w:val="0"/>
          <w:numId w:val="13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безопасность энергетики, воды, продовольствия, транспорта, связи и критической инфраструктуры;</w:t>
      </w:r>
    </w:p>
    <w:p>
      <w:pPr>
        <w:numPr>
          <w:ilvl w:val="0"/>
          <w:numId w:val="13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способность экономики выдерживать длительное давление без разрушения гражданских функций;</w:t>
      </w:r>
    </w:p>
    <w:p>
      <w:pPr>
        <w:numPr>
          <w:ilvl w:val="0"/>
          <w:numId w:val="13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защищённое информационное и культурное пространство;</w:t>
      </w:r>
    </w:p>
    <w:p>
      <w:pPr>
        <w:numPr>
          <w:ilvl w:val="0"/>
          <w:numId w:val="13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способность России формировать международные связи, в которых сотрудничество выгоднее конфронтации.</w:t>
      </w:r>
    </w:p>
    <w:p>
      <w:pPr>
        <w:spacing w:before="120" w:after="160" w:line="269" w:lineRule="auto"/>
        <w:ind w:left="173" w:right="72"/>
        <w:shd w:fill="FFF4D6"/>
        <w:pBdr>
          <w:left w:val="single" w:sz="18" w:space="8" w:color="9A6D00"/>
        </w:pBdr>
        <w:widowControl w:val="1"/>
      </w:pPr>
      <w:r>
        <w:rPr>
          <w:rFonts w:ascii="Arial" w:hAnsi="Arial" w:eastAsia="Arial"/>
          <w:b/>
          <w:i w:val="0"/>
          <w:color w:val="9A6D00"/>
          <w:sz w:val="18"/>
          <w:lang w:val="ru-RU"/>
        </w:rPr>
        <w:t xml:space="preserve">КРИТЕРИЙ ПРИ АГРЕССИИ  </w:t>
      </w:r>
      <w:r>
        <w:rPr>
          <w:rFonts w:ascii="Arial" w:hAnsi="Arial" w:eastAsia="Arial"/>
          <w:b w:val="0"/>
          <w:i w:val="0"/>
          <w:color w:val="172B3A"/>
          <w:sz w:val="21"/>
          <w:lang w:val="ru-RU"/>
        </w:rPr>
        <w:t>Победа означает срыв политических, экономических, информационных и военных целей агрессора при сохранении жизнеспособности России, управляемости государства и способности страны продолжать развитие.</w:t>
      </w:r>
    </w:p>
    <w:p>
      <w:pPr>
        <w:pStyle w:val="Heading1"/>
        <w:widowControl w:val="1"/>
      </w:pPr>
      <w:r>
        <w:rPr>
          <w:lang w:val="ru-RU"/>
        </w:rPr>
        <w:t>5. Двенадцать принципов</w:t>
      </w:r>
    </w:p>
    <w:p>
      <w:pPr>
        <w:spacing w:before="0" w:after="10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1. Суверенность.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Критические решения, данные, технологии и инфраструктура находятся под национальным контролем.</w:t>
      </w:r>
    </w:p>
    <w:p>
      <w:pPr>
        <w:spacing w:before="0" w:after="10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2. Предупреждение.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Приоритет отдаётся устранению причин кризиса до перехода угрозы в чрезвычайную или военную фазу.</w:t>
      </w:r>
    </w:p>
    <w:p>
      <w:pPr>
        <w:spacing w:before="0" w:after="10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3. Стратегическая достаточность.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Ресурсы концентрируются на критических уязвимостях и точках системного эффекта.</w:t>
      </w:r>
    </w:p>
    <w:p>
      <w:pPr>
        <w:spacing w:before="0" w:after="10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4. Единство безопасности и развития.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Безопасность понимается как способность страны продолжать развитие, а развитие — как источник устойчивости.</w:t>
      </w:r>
    </w:p>
    <w:p>
      <w:pPr>
        <w:spacing w:before="0" w:after="10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5. Балансовый подход.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Решение одной задачи не должно создавать критический провал в другой сфере.</w:t>
      </w:r>
    </w:p>
    <w:p>
      <w:pPr>
        <w:spacing w:before="0" w:after="10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6. Доказательность.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Каждое решение имеет базовую линию, показатели, владельца, ресурсы и критерии независимой проверки.</w:t>
      </w:r>
    </w:p>
    <w:p>
      <w:pPr>
        <w:spacing w:before="0" w:after="10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7. Персональная ответственность.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Модели и ИИ объясняют варианты; решение принимает уполномоченное лицо.</w:t>
      </w:r>
    </w:p>
    <w:p>
      <w:pPr>
        <w:spacing w:before="0" w:after="10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8. Распределённая устойчивость.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Критические функции не зависят от одного центра, поставщика, маршрута или технологии.</w:t>
      </w:r>
    </w:p>
    <w:p>
      <w:pPr>
        <w:spacing w:before="0" w:after="10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9. Законность.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Полномочия, финансирование, данные и исполнение оформляются только в действующих правовых режимах.</w:t>
      </w:r>
    </w:p>
    <w:p>
      <w:pPr>
        <w:spacing w:before="0" w:after="10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10. Разделение контуров.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Гражданские и оборонные данные, роли и системы доступа разграничены.</w:t>
      </w:r>
    </w:p>
    <w:p>
      <w:pPr>
        <w:spacing w:before="0" w:after="10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11. Открытая кооперация при защищённом ядре.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Наука, бизнес и регионы участвуют без передачи им государственных полномочий.</w:t>
      </w:r>
    </w:p>
    <w:p>
      <w:pPr>
        <w:spacing w:before="0" w:after="10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12. Обратная связь.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Прогноз, решение, исполнение, измерение и корректировка образуют непрерывный цикл.</w:t>
      </w:r>
    </w:p>
    <w:p>
      <w:pPr>
        <w:pStyle w:val="Heading1"/>
        <w:widowControl w:val="1"/>
      </w:pPr>
      <w:r>
        <w:rPr>
          <w:lang w:val="ru-RU"/>
        </w:rPr>
        <w:t>6. Три уровня архитектуры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2800"/>
        <w:gridCol w:w="4760"/>
      </w:tblGrid>
      <w:tr>
        <w:trPr>
          <w:tblHeader w:val="true"/>
        </w:trPr>
        <w:tc>
          <w:tcPr>
            <w:tcW w:type="dxa" w:w="1800"/>
            <w:shd w:fill="F2F4F7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/>
                <w:i w:val="0"/>
                <w:color w:val="172B3A"/>
                <w:sz w:val="18"/>
              </w:rPr>
              <w:t>Уровень</w:t>
            </w:r>
          </w:p>
        </w:tc>
        <w:tc>
          <w:tcPr>
            <w:tcW w:type="dxa" w:w="2800"/>
            <w:shd w:fill="F2F4F7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/>
                <w:i w:val="0"/>
                <w:color w:val="172B3A"/>
                <w:sz w:val="18"/>
              </w:rPr>
              <w:t>Вопрос</w:t>
            </w:r>
          </w:p>
        </w:tc>
        <w:tc>
          <w:tcPr>
            <w:tcW w:type="dxa" w:w="4760"/>
            <w:shd w:fill="F2F4F7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/>
                <w:i w:val="0"/>
                <w:color w:val="172B3A"/>
                <w:sz w:val="18"/>
              </w:rPr>
              <w:t>Результат</w:t>
            </w:r>
          </w:p>
        </w:tc>
      </w:tr>
      <w:tr>
        <w:tc>
          <w:tcPr>
            <w:tcW w:type="dxa" w:w="180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8"/>
              </w:rPr>
              <w:t>13 полей устойчивости</w:t>
            </w:r>
          </w:p>
        </w:tc>
        <w:tc>
          <w:tcPr>
            <w:tcW w:type="dxa" w:w="280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8"/>
              </w:rPr>
              <w:t>Что должно сохранять жизнеспособность?</w:t>
            </w:r>
          </w:p>
        </w:tc>
        <w:tc>
          <w:tcPr>
            <w:tcW w:type="dxa" w:w="476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8"/>
              </w:rPr>
              <w:t>Полный профиль состояния страны без сокрытия провалов средним индексом</w:t>
            </w:r>
          </w:p>
        </w:tc>
      </w:tr>
      <w:tr>
        <w:tc>
          <w:tcPr>
            <w:tcW w:type="dxa" w:w="180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8"/>
              </w:rPr>
              <w:t>19 стратегических балансов</w:t>
            </w:r>
          </w:p>
        </w:tc>
        <w:tc>
          <w:tcPr>
            <w:tcW w:type="dxa" w:w="280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8"/>
              </w:rPr>
              <w:t>Какие противоречия необходимо удерживать?</w:t>
            </w:r>
          </w:p>
        </w:tc>
        <w:tc>
          <w:tcPr>
            <w:tcW w:type="dxa" w:w="476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8"/>
              </w:rPr>
              <w:t>Целевые коридоры, пороги, риск и ресурсная обеспеченность</w:t>
            </w:r>
          </w:p>
        </w:tc>
      </w:tr>
      <w:tr>
        <w:tc>
          <w:tcPr>
            <w:tcW w:type="dxa" w:w="180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8"/>
              </w:rPr>
              <w:t>20 стадий решения</w:t>
            </w:r>
          </w:p>
        </w:tc>
        <w:tc>
          <w:tcPr>
            <w:tcW w:type="dxa" w:w="280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8"/>
              </w:rPr>
              <w:t>Как сигнал превращается в результат?</w:t>
            </w:r>
          </w:p>
        </w:tc>
        <w:tc>
          <w:tcPr>
            <w:tcW w:type="dxa" w:w="476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8"/>
              </w:rPr>
              <w:t>Прослеживаемый цикл от наблюдения до наследования опыта</w:t>
            </w:r>
          </w:p>
        </w:tc>
      </w:tr>
    </w:tbl>
    <w:p>
      <w:pPr>
        <w:spacing w:after="20"/>
        <w:widowControl w:val="1"/>
      </w:pPr>
    </w:p>
    <w:p>
      <w:p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Такая структура служит инженерной системой полноты. Нумерация является способом адресации данных, функций и ответственности, а не претензией на универсальный математический закон.</w:t>
      </w:r>
    </w:p>
    <w:p>
      <w:pPr>
        <w:pStyle w:val="Heading1"/>
        <w:widowControl w:val="1"/>
      </w:pPr>
      <w:r>
        <w:rPr>
          <w:lang w:val="ru-RU"/>
        </w:rPr>
        <w:t>7. Тринадцать полей устойчивости</w:t>
      </w:r>
    </w:p>
    <w:p>
      <w:pPr>
        <w:numPr>
          <w:ilvl w:val="0"/>
          <w:numId w:val="14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Безопасность, оборона и суверенитет.</w:t>
      </w:r>
    </w:p>
    <w:p>
      <w:pPr>
        <w:numPr>
          <w:ilvl w:val="0"/>
          <w:numId w:val="14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Государственное управление и правовая устойчивость.</w:t>
      </w:r>
    </w:p>
    <w:p>
      <w:pPr>
        <w:numPr>
          <w:ilvl w:val="0"/>
          <w:numId w:val="14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Демография и человеческий капитал.</w:t>
      </w:r>
    </w:p>
    <w:p>
      <w:pPr>
        <w:numPr>
          <w:ilvl w:val="0"/>
          <w:numId w:val="14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Здоровье, биологическая и санитарная безопасность.</w:t>
      </w:r>
    </w:p>
    <w:p>
      <w:pPr>
        <w:numPr>
          <w:ilvl w:val="0"/>
          <w:numId w:val="14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Наука, образование и технологии.</w:t>
      </w:r>
    </w:p>
    <w:p>
      <w:pPr>
        <w:numPr>
          <w:ilvl w:val="0"/>
          <w:numId w:val="14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Промышленность и производственные мощности.</w:t>
      </w:r>
    </w:p>
    <w:p>
      <w:pPr>
        <w:numPr>
          <w:ilvl w:val="0"/>
          <w:numId w:val="14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Энергетика и критические ресурсы.</w:t>
      </w:r>
    </w:p>
    <w:p>
      <w:pPr>
        <w:numPr>
          <w:ilvl w:val="0"/>
          <w:numId w:val="14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Продовольствие, вода и природные системы.</w:t>
      </w:r>
    </w:p>
    <w:p>
      <w:pPr>
        <w:numPr>
          <w:ilvl w:val="0"/>
          <w:numId w:val="14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Территории, транспорт, связь и логистика.</w:t>
      </w:r>
    </w:p>
    <w:p>
      <w:pPr>
        <w:numPr>
          <w:ilvl w:val="0"/>
          <w:numId w:val="14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Финансы, инвестиции и материальные резервы.</w:t>
      </w:r>
    </w:p>
    <w:p>
      <w:pPr>
        <w:numPr>
          <w:ilvl w:val="0"/>
          <w:numId w:val="14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Информация, кибербезопасность и когнитивная устойчивость.</w:t>
      </w:r>
    </w:p>
    <w:p>
      <w:pPr>
        <w:numPr>
          <w:ilvl w:val="0"/>
          <w:numId w:val="14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Общественная солидарность, культура и историческая преемственность.</w:t>
      </w:r>
    </w:p>
    <w:p>
      <w:pPr>
        <w:numPr>
          <w:ilvl w:val="0"/>
          <w:numId w:val="14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Международные, внешнеэкономические и союзнические отношения.</w:t>
      </w:r>
    </w:p>
    <w:p>
      <w:p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По каждому полю фиксируются нормативное и фактическое состояние, допустимый коридор, критические отклонения, прогноз на нескольких горизонтах, ответственный орган, ресурсы восстановления и цепочка доказательств.</w:t>
      </w:r>
    </w:p>
    <w:p>
      <w:pPr>
        <w:pStyle w:val="Heading1"/>
        <w:widowControl w:val="1"/>
      </w:pPr>
      <w:r>
        <w:rPr>
          <w:lang w:val="ru-RU"/>
        </w:rPr>
        <w:t>8. Функциональные контуры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700"/>
        <w:gridCol w:w="4200"/>
        <w:gridCol w:w="3460"/>
      </w:tblGrid>
      <w:tr>
        <w:trPr>
          <w:tblHeader w:val="true"/>
        </w:trPr>
        <w:tc>
          <w:tcPr>
            <w:tcW w:type="dxa" w:w="1700"/>
            <w:shd w:fill="F2F4F7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/>
                <w:i w:val="0"/>
                <w:color w:val="172B3A"/>
                <w:sz w:val="16"/>
              </w:rPr>
              <w:t>Контур</w:t>
            </w:r>
          </w:p>
        </w:tc>
        <w:tc>
          <w:tcPr>
            <w:tcW w:type="dxa" w:w="4200"/>
            <w:shd w:fill="F2F4F7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/>
                <w:i w:val="0"/>
                <w:color w:val="172B3A"/>
                <w:sz w:val="16"/>
              </w:rPr>
              <w:t>Участники</w:t>
            </w:r>
          </w:p>
        </w:tc>
        <w:tc>
          <w:tcPr>
            <w:tcW w:type="dxa" w:w="3460"/>
            <w:shd w:fill="F2F4F7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/>
                <w:i w:val="0"/>
                <w:color w:val="172B3A"/>
                <w:sz w:val="16"/>
              </w:rPr>
              <w:t>Продукт</w:t>
            </w:r>
          </w:p>
        </w:tc>
      </w:tr>
      <w:tr>
        <w:tc>
          <w:tcPr>
            <w:tcW w:type="dxa" w:w="170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6"/>
              </w:rPr>
              <w:t>Стратегический</w:t>
            </w:r>
          </w:p>
        </w:tc>
        <w:tc>
          <w:tcPr>
            <w:tcW w:type="dxa" w:w="420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6"/>
              </w:rPr>
              <w:t>Президент, Совет Безопасности и Правительство Российской Федерации в пределах компетенции</w:t>
            </w:r>
          </w:p>
        </w:tc>
        <w:tc>
          <w:tcPr>
            <w:tcW w:type="dxa" w:w="346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6"/>
              </w:rPr>
              <w:t>Приоритеты, решения и поручения</w:t>
            </w:r>
          </w:p>
        </w:tc>
      </w:tr>
      <w:tr>
        <w:tc>
          <w:tcPr>
            <w:tcW w:type="dxa" w:w="170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6"/>
              </w:rPr>
              <w:t>Оборонный</w:t>
            </w:r>
          </w:p>
        </w:tc>
        <w:tc>
          <w:tcPr>
            <w:tcW w:type="dxa" w:w="420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6"/>
              </w:rPr>
              <w:t>Установленная система Министерства обороны Российской Федерации</w:t>
            </w:r>
          </w:p>
        </w:tc>
        <w:tc>
          <w:tcPr>
            <w:tcW w:type="dxa" w:w="346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6"/>
              </w:rPr>
              <w:t>Требования готовности и защищённое управление</w:t>
            </w:r>
          </w:p>
        </w:tc>
      </w:tr>
      <w:tr>
        <w:tc>
          <w:tcPr>
            <w:tcW w:type="dxa" w:w="170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6"/>
              </w:rPr>
              <w:t>Гражданский</w:t>
            </w:r>
          </w:p>
        </w:tc>
        <w:tc>
          <w:tcPr>
            <w:tcW w:type="dxa" w:w="420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6"/>
              </w:rPr>
              <w:t>ФОИВ, регионы, государственные компании и институты развития</w:t>
            </w:r>
          </w:p>
        </w:tc>
        <w:tc>
          <w:tcPr>
            <w:tcW w:type="dxa" w:w="346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6"/>
              </w:rPr>
              <w:t>Непрерывность гражданских функций и программы развития</w:t>
            </w:r>
          </w:p>
        </w:tc>
      </w:tr>
      <w:tr>
        <w:tc>
          <w:tcPr>
            <w:tcW w:type="dxa" w:w="170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6"/>
              </w:rPr>
              <w:t>Аналитический</w:t>
            </w:r>
          </w:p>
        </w:tc>
        <w:tc>
          <w:tcPr>
            <w:tcW w:type="dxa" w:w="420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6"/>
              </w:rPr>
              <w:t>ИАЦ и ЭКВИЛИБРИУМ</w:t>
            </w:r>
          </w:p>
        </w:tc>
        <w:tc>
          <w:tcPr>
            <w:tcW w:type="dxa" w:w="346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6"/>
              </w:rPr>
              <w:t>Сводная обстановка, сценарии и ранние предупреждения</w:t>
            </w:r>
          </w:p>
        </w:tc>
      </w:tr>
      <w:tr>
        <w:tc>
          <w:tcPr>
            <w:tcW w:type="dxa" w:w="170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6"/>
              </w:rPr>
              <w:t>Научно-технологический</w:t>
            </w:r>
          </w:p>
        </w:tc>
        <w:tc>
          <w:tcPr>
            <w:tcW w:type="dxa" w:w="420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6"/>
              </w:rPr>
              <w:t>РАН, научные центры, университеты и КБ</w:t>
            </w:r>
          </w:p>
        </w:tc>
        <w:tc>
          <w:tcPr>
            <w:tcW w:type="dxa" w:w="346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6"/>
              </w:rPr>
              <w:t>Методы, испытания и воспроизводимость</w:t>
            </w:r>
          </w:p>
        </w:tc>
      </w:tr>
      <w:tr>
        <w:tc>
          <w:tcPr>
            <w:tcW w:type="dxa" w:w="170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6"/>
              </w:rPr>
              <w:t>Проектно-финансовый</w:t>
            </w:r>
          </w:p>
        </w:tc>
        <w:tc>
          <w:tcPr>
            <w:tcW w:type="dxa" w:w="420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6"/>
              </w:rPr>
              <w:t>Законные бюджетные, договорные и инвестиционные механизмы</w:t>
            </w:r>
          </w:p>
        </w:tc>
        <w:tc>
          <w:tcPr>
            <w:tcW w:type="dxa" w:w="346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6"/>
              </w:rPr>
              <w:t>Обеспеченные ресурсами программы</w:t>
            </w:r>
          </w:p>
        </w:tc>
      </w:tr>
      <w:tr>
        <w:tc>
          <w:tcPr>
            <w:tcW w:type="dxa" w:w="170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6"/>
              </w:rPr>
              <w:t>Производственный</w:t>
            </w:r>
          </w:p>
        </w:tc>
        <w:tc>
          <w:tcPr>
            <w:tcW w:type="dxa" w:w="420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6"/>
              </w:rPr>
              <w:t>Предприятия и кооперационные цепочки</w:t>
            </w:r>
          </w:p>
        </w:tc>
        <w:tc>
          <w:tcPr>
            <w:tcW w:type="dxa" w:w="346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6"/>
              </w:rPr>
              <w:t>Продукция, мощности и эксплуатация</w:t>
            </w:r>
          </w:p>
        </w:tc>
      </w:tr>
      <w:tr>
        <w:tc>
          <w:tcPr>
            <w:tcW w:type="dxa" w:w="170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6"/>
              </w:rPr>
              <w:t>Валидация и контроль</w:t>
            </w:r>
          </w:p>
        </w:tc>
        <w:tc>
          <w:tcPr>
            <w:tcW w:type="dxa" w:w="420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6"/>
              </w:rPr>
              <w:t>Независимые проверяющие и аудит</w:t>
            </w:r>
          </w:p>
        </w:tc>
        <w:tc>
          <w:tcPr>
            <w:tcW w:type="dxa" w:w="346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6"/>
              </w:rPr>
              <w:t>Подтверждённый эффект и ограничения</w:t>
            </w:r>
          </w:p>
        </w:tc>
      </w:tr>
      <w:tr>
        <w:tc>
          <w:tcPr>
            <w:tcW w:type="dxa" w:w="170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6"/>
              </w:rPr>
              <w:t>Международный</w:t>
            </w:r>
          </w:p>
        </w:tc>
        <w:tc>
          <w:tcPr>
            <w:tcW w:type="dxa" w:w="420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6"/>
              </w:rPr>
              <w:t>Союзники и партнёры по безопасным направлениям</w:t>
            </w:r>
          </w:p>
        </w:tc>
        <w:tc>
          <w:tcPr>
            <w:tcW w:type="dxa" w:w="346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6"/>
              </w:rPr>
              <w:t>Совместимость и снижение конфликтности</w:t>
            </w:r>
          </w:p>
        </w:tc>
      </w:tr>
    </w:tbl>
    <w:p>
      <w:pPr>
        <w:spacing w:after="20"/>
        <w:widowControl w:val="1"/>
      </w:pPr>
    </w:p>
    <w:p>
      <w:pPr>
        <w:spacing w:before="100" w:after="140"/>
        <w:jc w:val="center"/>
        <w:shd w:fill="F2F4F7"/>
        <w:widowControl w:val="1"/>
      </w:pPr>
      <w:r>
        <w:rPr>
          <w:rFonts w:ascii="Cambria Math" w:hAnsi="Cambria Math" w:eastAsia="Cambria Math"/>
          <w:b/>
          <w:i w:val="0"/>
          <w:color w:val="17365D"/>
          <w:sz w:val="21"/>
          <w:lang w:val="ru-RU"/>
        </w:rPr>
        <w:t>Сигнал → оценка баланса → государственное решение → программа → проект → исполнение → верификация → корректировка</w:t>
      </w:r>
    </w:p>
    <w:p>
      <w:pPr>
        <w:pStyle w:val="Heading1"/>
        <w:widowControl w:val="1"/>
      </w:pPr>
      <w:r>
        <w:rPr>
          <w:lang w:val="ru-RU"/>
        </w:rPr>
        <w:t>9. Разделение гражданского и оборонного контуров</w:t>
      </w:r>
    </w:p>
    <w:p>
      <w:pPr>
        <w:pStyle w:val="Heading2"/>
        <w:widowControl w:val="1"/>
      </w:pPr>
      <w:r>
        <w:rPr>
          <w:lang w:val="ru-RU"/>
        </w:rPr>
        <w:t>Гражданский контур</w:t>
      </w:r>
    </w:p>
    <w:p>
      <w:pPr>
        <w:numPr>
          <w:ilvl w:val="0"/>
          <w:numId w:val="15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открытые данные и данные ограниченного гражданского доступа;</w:t>
      </w:r>
    </w:p>
    <w:p>
      <w:pPr>
        <w:numPr>
          <w:ilvl w:val="0"/>
          <w:numId w:val="15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социально-экономические, инфраструктурные, экологические и технологические показатели;</w:t>
      </w:r>
    </w:p>
    <w:p>
      <w:pPr>
        <w:numPr>
          <w:ilvl w:val="0"/>
          <w:numId w:val="15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реестр гражданских проектов и взаимодействие с регионами, наукой и бизнесом;</w:t>
      </w:r>
    </w:p>
    <w:p>
      <w:pPr>
        <w:numPr>
          <w:ilvl w:val="0"/>
          <w:numId w:val="15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гражданские бюджеты, договоры, показатели и органы допуска.</w:t>
      </w:r>
    </w:p>
    <w:p>
      <w:pPr>
        <w:pStyle w:val="Heading2"/>
        <w:widowControl w:val="1"/>
      </w:pPr>
      <w:r>
        <w:rPr>
          <w:lang w:val="ru-RU"/>
        </w:rPr>
        <w:t>Оборонный контур</w:t>
      </w:r>
    </w:p>
    <w:p>
      <w:pPr>
        <w:numPr>
          <w:ilvl w:val="0"/>
          <w:numId w:val="16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сведения, составляющие государственную тайну, и иная защищаемая информация;</w:t>
      </w:r>
    </w:p>
    <w:p>
      <w:pPr>
        <w:numPr>
          <w:ilvl w:val="0"/>
          <w:numId w:val="16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оценка оборонных рисков, требований и показателей готовности;</w:t>
      </w:r>
    </w:p>
    <w:p>
      <w:pPr>
        <w:numPr>
          <w:ilvl w:val="0"/>
          <w:numId w:val="16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оперативное и мобилизационное планирование;</w:t>
      </w:r>
    </w:p>
    <w:p>
      <w:pPr>
        <w:numPr>
          <w:ilvl w:val="0"/>
          <w:numId w:val="16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управление исключительно уполномоченными государственными структурами.</w:t>
      </w:r>
    </w:p>
    <w:p>
      <w:p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Обмен между контурами осуществляется только через аттестованные интерфейсы и в объёме агрегированных показателей, необходимом для межведомственной координации. Первичные закрытые данные не передаются в гражданскую платформу.</w:t>
      </w:r>
    </w:p>
    <w:p>
      <w:pPr>
        <w:pStyle w:val="Heading1"/>
        <w:widowControl w:val="1"/>
      </w:pPr>
      <w:r>
        <w:rPr>
          <w:lang w:val="ru-RU"/>
        </w:rPr>
        <w:t>10. Критерии успеха</w:t>
      </w:r>
    </w:p>
    <w:p>
      <w:p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Точные целевые значения утверждаются после определения исходной линии. Для пилота предлагаются измеримые ориентиры:</w:t>
      </w:r>
    </w:p>
    <w:p>
      <w:pPr>
        <w:numPr>
          <w:ilvl w:val="0"/>
          <w:numId w:val="17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100% критических угроз пилота имеют формализованный паспорт, владельца и план реагирования;</w:t>
      </w:r>
    </w:p>
    <w:p>
      <w:pPr>
        <w:numPr>
          <w:ilvl w:val="0"/>
          <w:numId w:val="17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время прохождения сигнала и подготовки межведомственного решения сокращено не менее чем на 30%;</w:t>
      </w:r>
    </w:p>
    <w:p>
      <w:pPr>
        <w:numPr>
          <w:ilvl w:val="0"/>
          <w:numId w:val="17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горизонт достоверного раннего предупреждения увеличен не менее чем на 30%;</w:t>
      </w:r>
    </w:p>
    <w:p>
      <w:pPr>
        <w:numPr>
          <w:ilvl w:val="0"/>
          <w:numId w:val="17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время восстановления выбранной критической функции сокращено на 25–40%;</w:t>
      </w:r>
    </w:p>
    <w:p>
      <w:pPr>
        <w:numPr>
          <w:ilvl w:val="0"/>
          <w:numId w:val="17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каждый пилот имеет бюджет полного жизненного цикла, контрольные точки и независимую проверку;</w:t>
      </w:r>
    </w:p>
    <w:p>
      <w:pPr>
        <w:numPr>
          <w:ilvl w:val="0"/>
          <w:numId w:val="17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не менее 70% пилотных результатов подтверждены независимым валидатором;</w:t>
      </w:r>
    </w:p>
    <w:p>
      <w:pPr>
        <w:numPr>
          <w:ilvl w:val="0"/>
          <w:numId w:val="17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решения и движение ресурсов имеют полный аудит-трейл;</w:t>
      </w:r>
    </w:p>
    <w:p>
      <w:pPr>
        <w:numPr>
          <w:ilvl w:val="0"/>
          <w:numId w:val="17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не допущены несанкционированные перетоки данных между гражданским и оборонным контурами;</w:t>
      </w:r>
    </w:p>
    <w:p>
      <w:pPr>
        <w:numPr>
          <w:ilvl w:val="0"/>
          <w:numId w:val="17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подтверждено снижение системного риска, а не только выполнение мероприятий.</w:t>
      </w:r>
    </w:p>
    <w:p>
      <w:pPr>
        <w:spacing w:before="120" w:after="160" w:line="269" w:lineRule="auto"/>
        <w:ind w:left="173" w:right="72"/>
        <w:shd w:fill="E9F3EC"/>
        <w:pBdr>
          <w:left w:val="single" w:sz="18" w:space="8" w:color="2F6B46"/>
        </w:pBdr>
        <w:widowControl w:val="1"/>
      </w:pPr>
      <w:r>
        <w:rPr>
          <w:rFonts w:ascii="Arial" w:hAnsi="Arial" w:eastAsia="Arial"/>
          <w:b/>
          <w:i w:val="0"/>
          <w:color w:val="2F6B46"/>
          <w:sz w:val="18"/>
          <w:lang w:val="ru-RU"/>
        </w:rPr>
        <w:t xml:space="preserve">ИНТЕГРАЛЬНЫЙ КРИТЕРИЙ  </w:t>
      </w:r>
      <w:r>
        <w:rPr>
          <w:rFonts w:ascii="Arial" w:hAnsi="Arial" w:eastAsia="Arial"/>
          <w:b w:val="0"/>
          <w:i w:val="0"/>
          <w:color w:val="172B3A"/>
          <w:sz w:val="21"/>
          <w:lang w:val="ru-RU"/>
        </w:rPr>
        <w:t>Россия сохраняет свободу стратегического выбора, устойчивость и способность к развитию при одновременном снижении вероятности войны.</w:t>
      </w:r>
    </w:p>
    <w:p>
      <w:pPr>
        <w:pStyle w:val="Heading1"/>
        <w:pageBreakBefore/>
        <w:widowControl w:val="1"/>
      </w:pPr>
      <w:r>
        <w:rPr>
          <w:lang w:val="ru-RU"/>
        </w:rPr>
        <w:t>11. Институциональные границы</w:t>
      </w:r>
    </w:p>
    <w:p>
      <w:p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Доктрина не предусматривает:</w:t>
      </w:r>
    </w:p>
    <w:p>
      <w:pPr>
        <w:numPr>
          <w:ilvl w:val="0"/>
          <w:numId w:val="18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создания сверхведомства или передачи государственных полномочий частным и кооперационным структурам;</w:t>
      </w:r>
    </w:p>
    <w:p>
      <w:pPr>
        <w:numPr>
          <w:ilvl w:val="0"/>
          <w:numId w:val="18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вмешательства гражданской платформы в оперативное военное управление;</w:t>
      </w:r>
    </w:p>
    <w:p>
      <w:pPr>
        <w:numPr>
          <w:ilvl w:val="0"/>
          <w:numId w:val="18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размещения сведений, составляющих государственную тайну, в гражданских информационных системах;</w:t>
      </w:r>
    </w:p>
    <w:p>
      <w:pPr>
        <w:numPr>
          <w:ilvl w:val="0"/>
          <w:numId w:val="18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автономного принятия государственных решений искусственным интеллектом;</w:t>
      </w:r>
    </w:p>
    <w:p>
      <w:pPr>
        <w:numPr>
          <w:ilvl w:val="0"/>
          <w:numId w:val="18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внебюджетных обязательств без правового основания и подтверждённых источников обеспечения;</w:t>
      </w:r>
    </w:p>
    <w:p>
      <w:pPr>
        <w:numPr>
          <w:ilvl w:val="0"/>
          <w:numId w:val="18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исключительного доступа отдельного оператора к государственным заказам;</w:t>
      </w:r>
    </w:p>
    <w:p>
      <w:pPr>
        <w:numPr>
          <w:ilvl w:val="0"/>
          <w:numId w:val="18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массового сбора персональных данных без конкретной законной цели;</w:t>
      </w:r>
    </w:p>
    <w:p>
      <w:pPr>
        <w:numPr>
          <w:ilvl w:val="0"/>
          <w:numId w:val="18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публичного раскрытия информации, способной создать дополнительные уязвимости.</w:t>
      </w:r>
    </w:p>
    <w:p>
      <w:p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Рабочие наименования «ЭКВИЛИБРИУМ», «СФЕРА», ECO-PPA и «СПЕЦЗАЩИТА» подлежат правовой, терминологической и информационно-безопасностной экспертизе до включения в официальные документы.</w:t>
      </w:r>
    </w:p>
    <w:p>
      <w:pPr>
        <w:widowControl w:val="1"/>
      </w:pPr>
      <w:r>
        <w:rPr>
          <w:lang w:val="ru-RU"/>
        </w:rPr>
        <w:br w:type="page"/>
      </w:r>
    </w:p>
    <w:p>
      <w:pPr>
        <w:keepNext/>
        <w:spacing w:before="0" w:after="120"/>
        <w:widowControl w:val="1"/>
      </w:pPr>
      <w:r>
        <w:rPr>
          <w:rFonts w:ascii="Arial" w:hAnsi="Arial" w:eastAsia="Arial"/>
          <w:b/>
          <w:i w:val="0"/>
          <w:color w:val="2E5B88"/>
          <w:sz w:val="17"/>
          <w:lang w:val="ru-RU"/>
        </w:rPr>
        <w:t>ПРИЛОЖЕНИЕ 2</w:t>
      </w:r>
    </w:p>
    <w:p>
      <w:pPr>
        <w:keepNext/>
        <w:spacing w:before="0" w:after="120"/>
        <w:jc w:val="left"/>
        <w:widowControl w:val="1"/>
      </w:pPr>
      <w:r>
        <w:rPr>
          <w:rFonts w:ascii="Arial" w:hAnsi="Arial" w:eastAsia="Arial"/>
          <w:b/>
          <w:i w:val="0"/>
          <w:color w:val="17365D"/>
          <w:sz w:val="50"/>
          <w:lang w:val="ru-RU"/>
        </w:rPr>
        <w:t>СУТЬ СТРАТЕГИЧЕСКИХ РЕШЕНИЙ</w:t>
      </w:r>
    </w:p>
    <w:p>
      <w:pPr>
        <w:keepNext/>
        <w:spacing w:before="0" w:after="320"/>
        <w:jc w:val="left"/>
        <w:widowControl w:val="1"/>
      </w:pPr>
      <w:r>
        <w:rPr>
          <w:rFonts w:ascii="Arial" w:hAnsi="Arial" w:eastAsia="Arial"/>
          <w:b w:val="0"/>
          <w:i w:val="0"/>
          <w:color w:val="5F6B76"/>
          <w:sz w:val="25"/>
          <w:lang w:val="ru-RU"/>
        </w:rPr>
        <w:t>Единый свод: отдельные проекты объединены в 19 системных решений, каждое из которых имеет государственный результат, первый шаг и критерий допуска</w:t>
      </w:r>
    </w:p>
    <w:p>
      <w:pPr>
        <w:spacing w:before="120" w:after="160" w:line="269" w:lineRule="auto"/>
        <w:ind w:left="173" w:right="72"/>
        <w:shd w:fill="E8EEF5"/>
        <w:pBdr>
          <w:left w:val="single" w:sz="18" w:space="8" w:color="2E5B88"/>
        </w:pBdr>
        <w:widowControl w:val="1"/>
      </w:pPr>
      <w:r>
        <w:rPr>
          <w:rFonts w:ascii="Arial" w:hAnsi="Arial" w:eastAsia="Arial"/>
          <w:b/>
          <w:i w:val="0"/>
          <w:color w:val="2E5B88"/>
          <w:sz w:val="18"/>
          <w:lang w:val="ru-RU"/>
        </w:rPr>
        <w:t xml:space="preserve">СТАТУС  </w:t>
      </w:r>
      <w:r>
        <w:rPr>
          <w:rFonts w:ascii="Arial" w:hAnsi="Arial" w:eastAsia="Arial"/>
          <w:b w:val="0"/>
          <w:i w:val="0"/>
          <w:color w:val="172B3A"/>
          <w:sz w:val="21"/>
          <w:lang w:val="ru-RU"/>
        </w:rPr>
        <w:t>Проект концептуального документа для предварительной экспертной оценки. Не является нормативным актом и не подменяет действующие документы стратегического планирования Российской Федерации.</w:t>
      </w:r>
    </w:p>
    <w:p>
      <w:p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Настоящий раздел не претендует на перечисление каждого отраслевого проекта. Он сводит их к 19 решениям верхнего уровня. Транспорт, энергетика, биоценозы, материаловедение, хранение наследия, социальные программы и международные инициативы рассматриваются как портфели реализации внутри общей архитектуры.</w:t>
      </w:r>
    </w:p>
    <w:p>
      <w:pPr>
        <w:pStyle w:val="Heading2"/>
        <w:keepNext/>
        <w:keepLines/>
        <w:widowControl w:val="1"/>
      </w:pPr>
      <w:r>
        <w:rPr>
          <w:lang w:val="ru-RU"/>
        </w:rPr>
        <w:t>Р-01. Доктрина Победы</w:t>
      </w:r>
    </w:p>
    <w:p>
      <w:pPr>
        <w:keepNext/>
        <w:keepLines/>
        <w:spacing w:before="0" w:after="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Суть: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Закрепить предупреждение войны и сохранение способности к развитию как единый предмет стратегического управления.</w:t>
      </w:r>
    </w:p>
    <w:p>
      <w:pPr>
        <w:keepNext/>
        <w:keepLines/>
        <w:spacing w:before="0" w:after="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Государственный результат: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Общая рамка, связывающая безопасность, экономику, технологии, общество и инфраструктуру.</w:t>
      </w:r>
    </w:p>
    <w:p>
      <w:pPr>
        <w:keepNext/>
        <w:keepLines/>
        <w:spacing w:before="0" w:after="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Первый шаг: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Межведомственная экспертная оценка проекта документа.</w:t>
      </w:r>
    </w:p>
    <w:p>
      <w:pPr>
        <w:keepLines/>
        <w:spacing w:before="0" w:after="1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Критерий допуска: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Непротиворечивость действующим полномочиям и документам стратегического планирования.</w:t>
      </w:r>
    </w:p>
    <w:p>
      <w:pPr>
        <w:pStyle w:val="Heading2"/>
        <w:keepNext/>
        <w:keepLines/>
        <w:widowControl w:val="1"/>
      </w:pPr>
      <w:r>
        <w:rPr>
          <w:lang w:val="ru-RU"/>
        </w:rPr>
        <w:t>Р-02. Система стратегических балансов</w:t>
      </w:r>
    </w:p>
    <w:p>
      <w:pPr>
        <w:keepNext/>
        <w:keepLines/>
        <w:spacing w:before="0" w:after="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Суть: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Оценивать решения не по одному KPI, а по профилю взаимосвязанных целей, ресурсов, рисков и последствий.</w:t>
      </w:r>
    </w:p>
    <w:p>
      <w:pPr>
        <w:keepNext/>
        <w:keepLines/>
        <w:spacing w:before="0" w:after="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Государственный результат: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Выявление отсроченных и межотраслевых провалов до масштабирования.</w:t>
      </w:r>
    </w:p>
    <w:p>
      <w:pPr>
        <w:keepNext/>
        <w:keepLines/>
        <w:spacing w:before="0" w:after="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Первый шаг: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Утвердить пилотный перечень балансов, показателей и порогов.</w:t>
      </w:r>
    </w:p>
    <w:p>
      <w:pPr>
        <w:keepLines/>
        <w:spacing w:before="0" w:after="1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Критерий допуска: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Базовая линия, открытая формула, стресс-сценарий и независимая проверка.</w:t>
      </w:r>
    </w:p>
    <w:p>
      <w:pPr>
        <w:pStyle w:val="Heading2"/>
        <w:keepNext/>
        <w:keepLines/>
        <w:widowControl w:val="1"/>
      </w:pPr>
      <w:r>
        <w:rPr>
          <w:lang w:val="ru-RU"/>
        </w:rPr>
        <w:t>Р-03. Информационно-аналитический центр</w:t>
      </w:r>
    </w:p>
    <w:p>
      <w:pPr>
        <w:keepNext/>
        <w:keepLines/>
        <w:spacing w:before="0" w:after="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Суть: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Создать аналитико-управленческий штаб по двум направлениям: экономика и безопасность.</w:t>
      </w:r>
    </w:p>
    <w:p>
      <w:pPr>
        <w:keepNext/>
        <w:keepLines/>
        <w:spacing w:before="0" w:after="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Государственный результат: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Единая сводная обстановка, варианты решений, поручения и контроль исполнения.</w:t>
      </w:r>
    </w:p>
    <w:p>
      <w:pPr>
        <w:keepNext/>
        <w:keepLines/>
        <w:spacing w:before="0" w:after="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Первый шаг: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Определить заказчика, состав экспертной группы и один реальный процесс.</w:t>
      </w:r>
    </w:p>
    <w:p>
      <w:pPr>
        <w:keepLines/>
        <w:spacing w:before="0" w:after="1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Критерий допуска: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ИАЦ не получает полномочий органов власти и не заменяет ведомственные центры.</w:t>
      </w:r>
    </w:p>
    <w:p>
      <w:pPr>
        <w:pStyle w:val="Heading2"/>
        <w:keepNext/>
        <w:keepLines/>
        <w:widowControl w:val="1"/>
      </w:pPr>
      <w:r>
        <w:rPr>
          <w:lang w:val="ru-RU"/>
        </w:rPr>
        <w:t>Р-04. ЭКВИЛИБРИУМ ОС</w:t>
      </w:r>
    </w:p>
    <w:p>
      <w:pPr>
        <w:keepNext/>
        <w:keepLines/>
        <w:spacing w:before="0" w:after="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Суть: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Создать цифровой слой наблюдения, координации, доказательности и обратной связи над действующими системами.</w:t>
      </w:r>
    </w:p>
    <w:p>
      <w:pPr>
        <w:keepNext/>
        <w:keepLines/>
        <w:spacing w:before="0" w:after="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Государственный результат: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Прослеживаемый цикл «цель — реестр — ресурс — проект — результат — обратная связь».</w:t>
      </w:r>
    </w:p>
    <w:p>
      <w:pPr>
        <w:keepNext/>
        <w:keepLines/>
        <w:spacing w:before="0" w:after="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Первый шаг: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MVP на 1–3 проектах и 10–20 KPI.</w:t>
      </w:r>
    </w:p>
    <w:p>
      <w:pPr>
        <w:keepLines/>
        <w:spacing w:before="0" w:after="1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Критерий допуска: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Полный аудит-трейл, человек в контуре и доказанный выигрыш по времени или качеству решения.</w:t>
      </w:r>
    </w:p>
    <w:p>
      <w:pPr>
        <w:pStyle w:val="Heading2"/>
        <w:keepNext/>
        <w:keepLines/>
        <w:widowControl w:val="1"/>
      </w:pPr>
      <w:r>
        <w:rPr>
          <w:lang w:val="ru-RU"/>
        </w:rPr>
        <w:t>Р-05. Единые реестры и цифровой двойник</w:t>
      </w:r>
    </w:p>
    <w:p>
      <w:pPr>
        <w:keepNext/>
        <w:keepLines/>
        <w:spacing w:before="0" w:after="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Суть: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Связать устойчивые идентификаторы объектов, территорий, участников, рисков, решений и доказательств.</w:t>
      </w:r>
    </w:p>
    <w:p>
      <w:pPr>
        <w:keepNext/>
        <w:keepLines/>
        <w:spacing w:before="0" w:after="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Государственный результат: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Единая версия состояния без замены официального учёта.</w:t>
      </w:r>
    </w:p>
    <w:p>
      <w:pPr>
        <w:keepNext/>
        <w:keepLines/>
        <w:spacing w:before="0" w:after="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Первый шаг: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Онтология v0.1 и минимальная модель данных.</w:t>
      </w:r>
    </w:p>
    <w:p>
      <w:pPr>
        <w:keepLines/>
        <w:spacing w:before="0" w:after="1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Критерий допуска: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Происхождение данных, версионность, права доступа и отсутствие дублирования юридически значимых реестров.</w:t>
      </w:r>
    </w:p>
    <w:p>
      <w:pPr>
        <w:pStyle w:val="Heading2"/>
        <w:keepNext/>
        <w:keepLines/>
        <w:widowControl w:val="1"/>
      </w:pPr>
      <w:r>
        <w:rPr>
          <w:lang w:val="ru-RU"/>
        </w:rPr>
        <w:t>Р-06. ГАСМП «ЭКВИЛИБРИУМ»</w:t>
      </w:r>
    </w:p>
    <w:p>
      <w:pPr>
        <w:keepNext/>
        <w:keepLines/>
        <w:spacing w:before="0" w:after="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Суть: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Соединить аэрокосмическое и наземное наблюдение, научные модели и контур раннего предупреждения.</w:t>
      </w:r>
    </w:p>
    <w:p>
      <w:pPr>
        <w:keepNext/>
        <w:keepLines/>
        <w:spacing w:before="0" w:after="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Государственный результат: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Сокращение времени от слабого сигнала до подтверждённого решения.</w:t>
      </w:r>
    </w:p>
    <w:p>
      <w:pPr>
        <w:keepNext/>
        <w:keepLines/>
        <w:spacing w:before="0" w:after="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Первый шаг: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Одна территория и 3–5 сценариев угроз.</w:t>
      </w:r>
    </w:p>
    <w:p>
      <w:pPr>
        <w:keepLines/>
        <w:spacing w:before="0" w:after="1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Критерий допуска: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Не менее трёх независимых классов источников, протокол валидации и проведённое учение.</w:t>
      </w:r>
    </w:p>
    <w:p>
      <w:pPr>
        <w:pStyle w:val="Heading2"/>
        <w:keepNext/>
        <w:keepLines/>
        <w:widowControl w:val="1"/>
      </w:pPr>
      <w:r>
        <w:rPr>
          <w:lang w:val="ru-RU"/>
        </w:rPr>
        <w:t>Р-07. Единые унифицированные технологии</w:t>
      </w:r>
    </w:p>
    <w:p>
      <w:pPr>
        <w:keepNext/>
        <w:keepLines/>
        <w:spacing w:before="0" w:after="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Суть: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Ввести общий паспорт технологии и восемь уровней готовности от замысла до инфраструктурного стандарта.</w:t>
      </w:r>
    </w:p>
    <w:p>
      <w:pPr>
        <w:keepNext/>
        <w:keepLines/>
        <w:spacing w:before="0" w:after="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Государственный результат: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Сопоставимость технологий и запрет преждевременного масштабирования.</w:t>
      </w:r>
    </w:p>
    <w:p>
      <w:pPr>
        <w:keepNext/>
        <w:keepLines/>
        <w:spacing w:before="0" w:after="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Первый шаг: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Паспорт ЕУТ 0.9 и три пилота.</w:t>
      </w:r>
    </w:p>
    <w:p>
      <w:pPr>
        <w:keepLines/>
        <w:spacing w:before="0" w:after="1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Критерий допуска: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Переход уровня только после подтверждения результата, риска и экономики предыдущего уровня.</w:t>
      </w:r>
    </w:p>
    <w:p>
      <w:pPr>
        <w:pStyle w:val="Heading2"/>
        <w:keepNext/>
        <w:keepLines/>
        <w:widowControl w:val="1"/>
      </w:pPr>
      <w:r>
        <w:rPr>
          <w:lang w:val="ru-RU"/>
        </w:rPr>
        <w:t>Р-08. Национальная система валидации</w:t>
      </w:r>
    </w:p>
    <w:p>
      <w:pPr>
        <w:keepNext/>
        <w:keepLines/>
        <w:spacing w:before="0" w:after="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Суть: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Разделить разработчика, оператора, владельца решения и независимого валидатора.</w:t>
      </w:r>
    </w:p>
    <w:p>
      <w:pPr>
        <w:keepNext/>
        <w:keepLines/>
        <w:spacing w:before="0" w:after="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Государственный результат: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Доверие к эффекту, ограничениям и фактическим затратам.</w:t>
      </w:r>
    </w:p>
    <w:p>
      <w:pPr>
        <w:keepNext/>
        <w:keepLines/>
        <w:spacing w:before="0" w:after="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Первый шаг: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Методика, реестр доказательств и требования к конфликтам интересов.</w:t>
      </w:r>
    </w:p>
    <w:p>
      <w:pPr>
        <w:keepLines/>
        <w:spacing w:before="0" w:after="1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Критерий допуска: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Отрицательные результаты сохраняются наравне с положительными; существенные тезисы воспроизводимы.</w:t>
      </w:r>
    </w:p>
    <w:p>
      <w:pPr>
        <w:pStyle w:val="Heading2"/>
        <w:keepNext/>
        <w:keepLines/>
        <w:widowControl w:val="1"/>
      </w:pPr>
      <w:r>
        <w:rPr>
          <w:lang w:val="ru-RU"/>
        </w:rPr>
        <w:t>Р-09. СФЕРА инициатив</w:t>
      </w:r>
    </w:p>
    <w:p>
      <w:pPr>
        <w:keepNext/>
        <w:keepLines/>
        <w:spacing w:before="0" w:after="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Суть: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Создать единый маршрут общественных, научных, предпринимательских и региональных инициатив.</w:t>
      </w:r>
    </w:p>
    <w:p>
      <w:pPr>
        <w:keepNext/>
        <w:keepLines/>
        <w:spacing w:before="0" w:after="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Государственный результат: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Связь каждой инициативы с угрозой, национальной целью, владельцем результата и KPI.</w:t>
      </w:r>
    </w:p>
    <w:p>
      <w:pPr>
        <w:keepNext/>
        <w:keepLines/>
        <w:spacing w:before="0" w:after="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Первый шаг: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Единый паспорт инициативы и процедура квалификации.</w:t>
      </w:r>
    </w:p>
    <w:p>
      <w:pPr>
        <w:keepLines/>
        <w:spacing w:before="0" w:after="1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Критерий допуска: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Добровольность участия, прозрачные критерии и отсутствие обещаний государственного статуса до решения уполномоченного органа.</w:t>
      </w:r>
    </w:p>
    <w:p>
      <w:pPr>
        <w:pStyle w:val="Heading2"/>
        <w:keepNext/>
        <w:keepLines/>
        <w:widowControl w:val="1"/>
      </w:pPr>
      <w:r>
        <w:rPr>
          <w:lang w:val="ru-RU"/>
        </w:rPr>
        <w:t>Р-10. ECO-PPA</w:t>
      </w:r>
    </w:p>
    <w:p>
      <w:pPr>
        <w:keepNext/>
        <w:keepLines/>
        <w:spacing w:before="0" w:after="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Суть: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Структурировать программно-проектные соглашения превентивного действия вокруг конкретной угрозы и подтверждаемого результата.</w:t>
      </w:r>
    </w:p>
    <w:p>
      <w:pPr>
        <w:keepNext/>
        <w:keepLines/>
        <w:spacing w:before="0" w:after="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Государственный результат: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Мобилизация государственных и частных ресурсов до наступления ущерба.</w:t>
      </w:r>
    </w:p>
    <w:p>
      <w:pPr>
        <w:keepNext/>
        <w:keepLines/>
        <w:spacing w:before="0" w:after="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Первый шаг: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Правовая модель одного пилотного соглашения.</w:t>
      </w:r>
    </w:p>
    <w:p>
      <w:pPr>
        <w:keepLines/>
        <w:spacing w:before="0" w:after="1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Критерий допуска: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Законный источник финансирования, распределение рисков, этапные транши и независимая проверка эффекта.</w:t>
      </w:r>
    </w:p>
    <w:p>
      <w:pPr>
        <w:pStyle w:val="Heading2"/>
        <w:keepNext/>
        <w:keepLines/>
        <w:widowControl w:val="1"/>
      </w:pPr>
      <w:r>
        <w:rPr>
          <w:lang w:val="ru-RU"/>
        </w:rPr>
        <w:t>Р-11. СПЕЦЗАЩИТА</w:t>
      </w:r>
    </w:p>
    <w:p>
      <w:pPr>
        <w:keepNext/>
        <w:keepLines/>
        <w:spacing w:before="0" w:after="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Суть: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Организовать кооперационное исполнение: консорциумы, производство, пилоты и типовые пакеты масштабирования.</w:t>
      </w:r>
    </w:p>
    <w:p>
      <w:pPr>
        <w:keepNext/>
        <w:keepLines/>
        <w:spacing w:before="0" w:after="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Государственный результат: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Полный маршрут от инициативы до работающего решения.</w:t>
      </w:r>
    </w:p>
    <w:p>
      <w:pPr>
        <w:keepNext/>
        <w:keepLines/>
        <w:spacing w:before="0" w:after="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Первый шаг: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Аудит компетенций, устава, 19 участков и первого портфеля.</w:t>
      </w:r>
    </w:p>
    <w:p>
      <w:pPr>
        <w:keepLines/>
        <w:spacing w:before="0" w:after="1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Критерий допуска: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Оператор не получает властных полномочий или исключительного доступа; права и активы подтверждены.</w:t>
      </w:r>
    </w:p>
    <w:p>
      <w:pPr>
        <w:pStyle w:val="Heading2"/>
        <w:keepNext/>
        <w:keepLines/>
        <w:widowControl w:val="1"/>
      </w:pPr>
      <w:r>
        <w:rPr>
          <w:lang w:val="ru-RU"/>
        </w:rPr>
        <w:t>Р-12. Технологический суверенитет и промышленная кооперация</w:t>
      </w:r>
    </w:p>
    <w:p>
      <w:pPr>
        <w:keepNext/>
        <w:keepLines/>
        <w:spacing w:before="0" w:after="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Суть: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Связать критические технологии, материалы, производственные мощности, кадры и гарантированный спрос.</w:t>
      </w:r>
    </w:p>
    <w:p>
      <w:pPr>
        <w:keepNext/>
        <w:keepLines/>
        <w:spacing w:before="0" w:after="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Государственный результат: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Сокращение разрыва между научным результатом и серийным производством.</w:t>
      </w:r>
    </w:p>
    <w:p>
      <w:pPr>
        <w:keepNext/>
        <w:keepLines/>
        <w:spacing w:before="0" w:after="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Первый шаг: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Реестр критических цепочек и 2–3 пилота локализации.</w:t>
      </w:r>
    </w:p>
    <w:p>
      <w:pPr>
        <w:keepLines/>
        <w:spacing w:before="0" w:after="1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Критерий допуска: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Подтверждены TRL/MRL, экономика серии, качество, заменяемость поставщиков и права на технологии.</w:t>
      </w:r>
    </w:p>
    <w:p>
      <w:pPr>
        <w:pStyle w:val="Heading2"/>
        <w:keepNext/>
        <w:keepLines/>
        <w:widowControl w:val="1"/>
      </w:pPr>
      <w:r>
        <w:rPr>
          <w:lang w:val="ru-RU"/>
        </w:rPr>
        <w:t>Р-13. Энергетическая и инфраструктурная устойчивость</w:t>
      </w:r>
    </w:p>
    <w:p>
      <w:pPr>
        <w:keepNext/>
        <w:keepLines/>
        <w:spacing w:before="0" w:after="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Суть: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Обеспечить непрерывность критических функций через распределённую генерацию, накопление, резервирование и автономность.</w:t>
      </w:r>
    </w:p>
    <w:p>
      <w:pPr>
        <w:keepNext/>
        <w:keepLines/>
        <w:spacing w:before="0" w:after="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Государственный результат: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Снижение единичных точек отказа и времени восстановления.</w:t>
      </w:r>
    </w:p>
    <w:p>
      <w:pPr>
        <w:keepNext/>
        <w:keepLines/>
        <w:spacing w:before="0" w:after="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Первый шаг: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Паспорт одной критической функции и стресс-тест N−1/N−2.</w:t>
      </w:r>
    </w:p>
    <w:p>
      <w:pPr>
        <w:keepLines/>
        <w:spacing w:before="0" w:after="1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Критерий допуска: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Резерв мощности, срок автономной работы, стоимость жизненного цикла и безопасное переключение режимов.</w:t>
      </w:r>
    </w:p>
    <w:p>
      <w:pPr>
        <w:pStyle w:val="Heading2"/>
        <w:keepNext/>
        <w:keepLines/>
        <w:widowControl w:val="1"/>
      </w:pPr>
      <w:r>
        <w:rPr>
          <w:lang w:val="ru-RU"/>
        </w:rPr>
        <w:t>Р-14. Биоценозы: вода, воздух, земля и продовольствие</w:t>
      </w:r>
    </w:p>
    <w:p>
      <w:pPr>
        <w:keepNext/>
        <w:keepLines/>
        <w:spacing w:before="0" w:after="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Суть: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Наблюдать территорию как живую систему и связывать экологические сигналы с хозяйственными решениями.</w:t>
      </w:r>
    </w:p>
    <w:p>
      <w:pPr>
        <w:keepNext/>
        <w:keepLines/>
        <w:spacing w:before="0" w:after="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Государственный результат: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Раннее выявление источника отклонения и программы восстановления.</w:t>
      </w:r>
    </w:p>
    <w:p>
      <w:pPr>
        <w:keepNext/>
        <w:keepLines/>
        <w:spacing w:before="0" w:after="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Первый шаг: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Биоценозная точка мониторинга и цифровой паспорт территории.</w:t>
      </w:r>
    </w:p>
    <w:p>
      <w:pPr>
        <w:keepLines/>
        <w:spacing w:before="0" w:after="1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Критерий допуска: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Базовая линия, причинная гипотеза, инструментальные данные и отсутствие необратимого ущерба.</w:t>
      </w:r>
    </w:p>
    <w:p>
      <w:pPr>
        <w:pStyle w:val="Heading2"/>
        <w:keepNext/>
        <w:keepLines/>
        <w:widowControl w:val="1"/>
      </w:pPr>
      <w:r>
        <w:rPr>
          <w:lang w:val="ru-RU"/>
        </w:rPr>
        <w:t>Р-15. Транспортно-логистический контур</w:t>
      </w:r>
    </w:p>
    <w:p>
      <w:pPr>
        <w:keepNext/>
        <w:keepLines/>
        <w:spacing w:before="0" w:after="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Суть: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Связать транспорт, снабжение, склады, коридоры, резервные маршруты и цифровую трассируемость.</w:t>
      </w:r>
    </w:p>
    <w:p>
      <w:pPr>
        <w:keepNext/>
        <w:keepLines/>
        <w:spacing w:before="0" w:after="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Государственный результат: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Непрерывность снабжения, снижение времени и стоимости доставки, готовность к стресс-сценариям.</w:t>
      </w:r>
    </w:p>
    <w:p>
      <w:pPr>
        <w:keepNext/>
        <w:keepLines/>
        <w:spacing w:before="0" w:after="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Первый шаг: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Цифровой двойник одного коридора или цепочки поставок.</w:t>
      </w:r>
    </w:p>
    <w:p>
      <w:pPr>
        <w:keepLines/>
        <w:spacing w:before="0" w:after="1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Критерий допуска: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Альтернативный маршрут, срок переключения, пропускная способность и проверенная безопасность.</w:t>
      </w:r>
    </w:p>
    <w:p>
      <w:pPr>
        <w:pStyle w:val="Heading2"/>
        <w:keepNext/>
        <w:keepLines/>
        <w:widowControl w:val="1"/>
      </w:pPr>
      <w:r>
        <w:rPr>
          <w:lang w:val="ru-RU"/>
        </w:rPr>
        <w:t>Р-16. Научно-образовательная и академическая инфраструктура</w:t>
      </w:r>
    </w:p>
    <w:p>
      <w:pPr>
        <w:keepNext/>
        <w:keepLines/>
        <w:spacing w:before="0" w:after="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Суть: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Восстановить связность институтов, лабораторий, стандартов, архивов данных и кадровых траекторий.</w:t>
      </w:r>
    </w:p>
    <w:p>
      <w:pPr>
        <w:keepNext/>
        <w:keepLines/>
        <w:spacing w:before="0" w:after="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Государственный результат: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Наука получает задачи внедрения, промышленность — проверяемые решения, государство — реестр компетенций.</w:t>
      </w:r>
    </w:p>
    <w:p>
      <w:pPr>
        <w:keepNext/>
        <w:keepLines/>
        <w:spacing w:before="0" w:after="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Первый шаг: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Реестр институтов, оборудования, методик и приоритетных задач.</w:t>
      </w:r>
    </w:p>
    <w:p>
      <w:pPr>
        <w:keepLines/>
        <w:spacing w:before="0" w:after="1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Критерий допуска: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Подтверждённая компетенция, открытая методика, воспроизводимость и защита интеллектуальных прав.</w:t>
      </w:r>
    </w:p>
    <w:p>
      <w:pPr>
        <w:pStyle w:val="Heading2"/>
        <w:keepNext/>
        <w:keepLines/>
        <w:widowControl w:val="1"/>
      </w:pPr>
      <w:r>
        <w:rPr>
          <w:lang w:val="ru-RU"/>
        </w:rPr>
        <w:t>Р-17. Развитие человека и общественная устойчивость</w:t>
      </w:r>
    </w:p>
    <w:p>
      <w:pPr>
        <w:keepNext/>
        <w:keepLines/>
        <w:spacing w:before="0" w:after="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Суть: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Связать здоровье, образование, занятость, реабилитацию, гражданскую готовность и качество среды.</w:t>
      </w:r>
    </w:p>
    <w:p>
      <w:pPr>
        <w:keepNext/>
        <w:keepLines/>
        <w:spacing w:before="0" w:after="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Государственный результат: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Человеческий капитал становится измеримым результатом программ безопасности и развития.</w:t>
      </w:r>
    </w:p>
    <w:p>
      <w:pPr>
        <w:keepNext/>
        <w:keepLines/>
        <w:spacing w:before="0" w:after="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Первый шаг: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Пилотный набор показателей и маршрут подготовки проектных команд.</w:t>
      </w:r>
    </w:p>
    <w:p>
      <w:pPr>
        <w:keepLines/>
        <w:spacing w:before="0" w:after="1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Критерий допуска: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Права человека, добровольность, защита данных и доказанный эффект для конкретных групп.</w:t>
      </w:r>
    </w:p>
    <w:p>
      <w:pPr>
        <w:pStyle w:val="Heading2"/>
        <w:keepNext/>
        <w:keepLines/>
        <w:widowControl w:val="1"/>
      </w:pPr>
      <w:r>
        <w:rPr>
          <w:lang w:val="ru-RU"/>
        </w:rPr>
        <w:t>Р-18. Архив сохранения наследия</w:t>
      </w:r>
    </w:p>
    <w:p>
      <w:pPr>
        <w:keepNext/>
        <w:keepLines/>
        <w:spacing w:before="0" w:after="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Суть: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Объединить происхождение, права, состояние, условия хранения и цифровые копии научного и культурного наследия.</w:t>
      </w:r>
    </w:p>
    <w:p>
      <w:pPr>
        <w:keepNext/>
        <w:keepLines/>
        <w:spacing w:before="0" w:after="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Государственный результат: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Прослеживаемость, сохранность и межпоколенческая передача знаний и ценностей.</w:t>
      </w:r>
    </w:p>
    <w:p>
      <w:pPr>
        <w:keepNext/>
        <w:keepLines/>
        <w:spacing w:before="0" w:after="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Первый шаг: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Минимальный реестр одной коллекции или научного фонда.</w:t>
      </w:r>
    </w:p>
    <w:p>
      <w:pPr>
        <w:keepLines/>
        <w:spacing w:before="0" w:after="1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Критерий допуска: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Юридические права, стандарт долговременного хранения, целостность, версия и независимый аудит.</w:t>
      </w:r>
    </w:p>
    <w:p>
      <w:pPr>
        <w:pStyle w:val="Heading2"/>
        <w:keepNext/>
        <w:keepLines/>
        <w:widowControl w:val="1"/>
      </w:pPr>
      <w:r>
        <w:rPr>
          <w:lang w:val="ru-RU"/>
        </w:rPr>
        <w:t>Р-19. Международный контур стратегической стабильности</w:t>
      </w:r>
    </w:p>
    <w:p>
      <w:pPr>
        <w:keepNext/>
        <w:keepLines/>
        <w:spacing w:before="0" w:after="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Суть: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Использовать научные, экологические, инфраструктурные и гуманитарные программы для снижения конфликтности.</w:t>
      </w:r>
    </w:p>
    <w:p>
      <w:pPr>
        <w:keepNext/>
        <w:keepLines/>
        <w:spacing w:before="0" w:after="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Государственный результат: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Пространство взаимной заинтересованности, где сотрудничество выгоднее конфронтации.</w:t>
      </w:r>
    </w:p>
    <w:p>
      <w:pPr>
        <w:keepNext/>
        <w:keepLines/>
        <w:spacing w:before="0" w:after="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Первый шаг: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Один безопасный гражданский трансграничный пилот и протокол совместимости.</w:t>
      </w:r>
    </w:p>
    <w:p>
      <w:pPr>
        <w:keepLines/>
        <w:spacing w:before="0" w:after="1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Критерий допуска: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Суверенный контроль данных, взаимная выгода, правовая определённость и отсутствие скрытых обязательств.</w:t>
      </w:r>
    </w:p>
    <w:p>
      <w:pPr>
        <w:spacing w:before="120" w:after="160" w:line="269" w:lineRule="auto"/>
        <w:ind w:left="173" w:right="72"/>
        <w:shd w:fill="E9F3EC"/>
        <w:pBdr>
          <w:left w:val="single" w:sz="18" w:space="8" w:color="2F6B46"/>
        </w:pBdr>
        <w:widowControl w:val="1"/>
      </w:pPr>
      <w:r>
        <w:rPr>
          <w:rFonts w:ascii="Arial" w:hAnsi="Arial" w:eastAsia="Arial"/>
          <w:b/>
          <w:i w:val="0"/>
          <w:color w:val="2F6B46"/>
          <w:sz w:val="18"/>
          <w:lang w:val="ru-RU"/>
        </w:rPr>
        <w:t xml:space="preserve">ЕДИНАЯ ФОРМУЛА  </w:t>
      </w:r>
      <w:r>
        <w:rPr>
          <w:rFonts w:ascii="Arial" w:hAnsi="Arial" w:eastAsia="Arial"/>
          <w:b w:val="0"/>
          <w:i w:val="0"/>
          <w:color w:val="172B3A"/>
          <w:sz w:val="21"/>
          <w:lang w:val="ru-RU"/>
        </w:rPr>
        <w:t>Инициатива → экспертиза → кооперация → ресурсное обеспечение → пилот → независимое подтверждение → стандарт → масштабирование.</w:t>
      </w:r>
    </w:p>
    <w:p>
      <w:pPr>
        <w:widowControl w:val="1"/>
      </w:pPr>
      <w:r>
        <w:rPr>
          <w:lang w:val="ru-RU"/>
        </w:rPr>
        <w:br w:type="page"/>
      </w:r>
    </w:p>
    <w:p>
      <w:pPr>
        <w:keepNext/>
        <w:spacing w:before="0" w:after="120"/>
        <w:widowControl w:val="1"/>
      </w:pPr>
      <w:r>
        <w:rPr>
          <w:rFonts w:ascii="Arial" w:hAnsi="Arial" w:eastAsia="Arial"/>
          <w:b/>
          <w:i w:val="0"/>
          <w:color w:val="2E5B88"/>
          <w:sz w:val="17"/>
          <w:lang w:val="ru-RU"/>
        </w:rPr>
        <w:t>ПРИЛОЖЕНИЕ 3</w:t>
      </w:r>
    </w:p>
    <w:p>
      <w:pPr>
        <w:keepNext/>
        <w:spacing w:before="0" w:after="120"/>
        <w:jc w:val="left"/>
        <w:widowControl w:val="1"/>
      </w:pPr>
      <w:r>
        <w:rPr>
          <w:rFonts w:ascii="Arial" w:hAnsi="Arial" w:eastAsia="Arial"/>
          <w:b/>
          <w:i w:val="0"/>
          <w:color w:val="17365D"/>
          <w:sz w:val="50"/>
          <w:lang w:val="ru-RU"/>
        </w:rPr>
        <w:t>СИСТЕМА СТРАТЕГИЧЕСКИХ БАЛАНСОВ</w:t>
      </w:r>
    </w:p>
    <w:p>
      <w:pPr>
        <w:keepNext/>
        <w:spacing w:before="0" w:after="320"/>
        <w:jc w:val="left"/>
        <w:widowControl w:val="1"/>
      </w:pPr>
      <w:r>
        <w:rPr>
          <w:rFonts w:ascii="Arial" w:hAnsi="Arial" w:eastAsia="Arial"/>
          <w:b w:val="0"/>
          <w:i w:val="0"/>
          <w:color w:val="5F6B76"/>
          <w:sz w:val="25"/>
          <w:lang w:val="ru-RU"/>
        </w:rPr>
        <w:t>Строгая, воспроизводимая и проверяемая методика допуска, пилотирования, масштабирования и пересмотра решений</w:t>
      </w:r>
    </w:p>
    <w:p>
      <w:pPr>
        <w:spacing w:before="120" w:after="160" w:line="269" w:lineRule="auto"/>
        <w:ind w:left="173" w:right="72"/>
        <w:shd w:fill="E8EEF5"/>
        <w:pBdr>
          <w:left w:val="single" w:sz="18" w:space="8" w:color="2E5B88"/>
        </w:pBdr>
        <w:widowControl w:val="1"/>
      </w:pPr>
      <w:r>
        <w:rPr>
          <w:rFonts w:ascii="Arial" w:hAnsi="Arial" w:eastAsia="Arial"/>
          <w:b/>
          <w:i w:val="0"/>
          <w:color w:val="2E5B88"/>
          <w:sz w:val="18"/>
          <w:lang w:val="ru-RU"/>
        </w:rPr>
        <w:t xml:space="preserve">СТАТУС  </w:t>
      </w:r>
      <w:r>
        <w:rPr>
          <w:rFonts w:ascii="Arial" w:hAnsi="Arial" w:eastAsia="Arial"/>
          <w:b w:val="0"/>
          <w:i w:val="0"/>
          <w:color w:val="172B3A"/>
          <w:sz w:val="21"/>
          <w:lang w:val="ru-RU"/>
        </w:rPr>
        <w:t>Проект концептуального документа для предварительной экспертной оценки. Не является нормативным актом и не подменяет действующие документы стратегического планирования Российской Федерации.</w:t>
      </w:r>
    </w:p>
    <w:p>
      <w:pPr>
        <w:pStyle w:val="Heading1"/>
        <w:widowControl w:val="1"/>
      </w:pPr>
      <w:r>
        <w:rPr>
          <w:lang w:val="ru-RU"/>
        </w:rPr>
        <w:t>1. Основное положение</w:t>
      </w:r>
    </w:p>
    <w:p>
      <w:p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Победа определяется не единичным достижением, а устойчивым состоянием, при котором национальные цели достигнуты, критические функции сохранены, риски удерживаются в допустимых пределах, экономика воспроизводит необходимые ресурсы, а принятое решение не создаёт отсроченного стратегического поражения.</w:t>
      </w:r>
    </w:p>
    <w:p>
      <w:pPr>
        <w:spacing w:before="100" w:after="140"/>
        <w:jc w:val="center"/>
        <w:shd w:fill="F2F4F7"/>
        <w:widowControl w:val="1"/>
      </w:pPr>
      <w:r>
        <w:rPr>
          <w:rFonts w:ascii="Cambria Math" w:hAnsi="Cambria Math" w:eastAsia="Cambria Math"/>
          <w:b/>
          <w:i w:val="0"/>
          <w:color w:val="17365D"/>
          <w:sz w:val="21"/>
          <w:lang w:val="ru-RU"/>
        </w:rPr>
        <w:t>Ресурсы → действия → непосредственный результат → общественный или оборонный эффект → изменение стратегического баланса</w:t>
      </w:r>
    </w:p>
    <w:p>
      <w:p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Любой интегральный индекс публикуется только вместе с полным профилем балансов. Одно высокое значение не вправе скрывать критический провал безопасности, законности, доказательности, жизненно важных гражданских функций или оборонной готовности.</w:t>
      </w:r>
    </w:p>
    <w:p>
      <w:pPr>
        <w:pStyle w:val="Heading1"/>
        <w:widowControl w:val="1"/>
      </w:pPr>
      <w:r>
        <w:rPr>
          <w:lang w:val="ru-RU"/>
        </w:rPr>
        <w:t>2. Девятнадцать ключевых балансов</w:t>
      </w:r>
    </w:p>
    <w:p>
      <w:pPr>
        <w:pStyle w:val="Heading2"/>
        <w:widowControl w:val="1"/>
      </w:pPr>
      <w:r>
        <w:rPr>
          <w:lang w:val="ru-RU"/>
        </w:rPr>
        <w:t>Б-01. Цели — ресурсы</w:t>
      </w:r>
    </w:p>
    <w:p>
      <w:pPr>
        <w:spacing w:before="0" w:after="12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Основные показатели: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Обеспеченность полного жизненного цикла; подтверждённый результат на рубль; доля необеспеченных обязательств.</w:t>
      </w:r>
    </w:p>
    <w:p>
      <w:pPr>
        <w:pStyle w:val="Heading2"/>
        <w:widowControl w:val="1"/>
      </w:pPr>
      <w:r>
        <w:rPr>
          <w:lang w:val="ru-RU"/>
        </w:rPr>
        <w:t>Б-02. Угрозы — готовность</w:t>
      </w:r>
    </w:p>
    <w:p>
      <w:pPr>
        <w:spacing w:before="0" w:after="12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Основные показатели: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Покрытие приоритетных угроз; отношение времени развёртывания к времени развития угрозы; остаточный риск.</w:t>
      </w:r>
    </w:p>
    <w:p>
      <w:pPr>
        <w:pStyle w:val="Heading2"/>
        <w:widowControl w:val="1"/>
      </w:pPr>
      <w:r>
        <w:rPr>
          <w:lang w:val="ru-RU"/>
        </w:rPr>
        <w:t>Б-03. Текущая устойчивость — долгосрочное развитие</w:t>
      </w:r>
    </w:p>
    <w:p>
      <w:pPr>
        <w:spacing w:before="0" w:after="12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Основные показатели: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Минимальный уровень текущих функций; доля модернизации; технический долг; эффект на горизонтах 1, 3, 6 и 12 лет.</w:t>
      </w:r>
    </w:p>
    <w:p>
      <w:pPr>
        <w:pStyle w:val="Heading2"/>
        <w:widowControl w:val="1"/>
      </w:pPr>
      <w:r>
        <w:rPr>
          <w:lang w:val="ru-RU"/>
        </w:rPr>
        <w:t>Б-04. Предупреждение — реагирование — восстановление</w:t>
      </w:r>
    </w:p>
    <w:p>
      <w:pPr>
        <w:spacing w:before="0" w:after="12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Основные показатели: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Время обнаружения, реагирования и восстановления; предотвращённый ущерб; стоимость полного цикла инцидента.</w:t>
      </w:r>
    </w:p>
    <w:p>
      <w:pPr>
        <w:pStyle w:val="Heading2"/>
        <w:widowControl w:val="1"/>
      </w:pPr>
      <w:r>
        <w:rPr>
          <w:lang w:val="ru-RU"/>
        </w:rPr>
        <w:t>Б-05. Суверенный контроль — международная кооперация</w:t>
      </w:r>
    </w:p>
    <w:p>
      <w:pPr>
        <w:spacing w:before="0" w:after="12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Основные показатели: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Доля критических функций под национальным контролем; концентрация поставщиков; срок переключения.</w:t>
      </w:r>
    </w:p>
    <w:p>
      <w:pPr>
        <w:pStyle w:val="Heading2"/>
        <w:widowControl w:val="1"/>
      </w:pPr>
      <w:r>
        <w:rPr>
          <w:lang w:val="ru-RU"/>
        </w:rPr>
        <w:t>Б-06. Безопасность — экономическая эффективность</w:t>
      </w:r>
    </w:p>
    <w:p>
      <w:pPr>
        <w:spacing w:before="0" w:after="12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Основные показатели: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Предотвращённый ожидаемый ущерб к стоимости жизненного цикла; стоимость защищённого результата; нагрузка на бюджет.</w:t>
      </w:r>
    </w:p>
    <w:p>
      <w:pPr>
        <w:pStyle w:val="Heading2"/>
        <w:widowControl w:val="1"/>
      </w:pPr>
      <w:r>
        <w:rPr>
          <w:lang w:val="ru-RU"/>
        </w:rPr>
        <w:t>Б-07. Потребность — производственная мощность</w:t>
      </w:r>
    </w:p>
    <w:p>
      <w:pPr>
        <w:spacing w:before="0" w:after="12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Основные показатели: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Располагаемая мощность к пиковому спросу; загрузка; резерв; неудовлетворённая потребность.</w:t>
      </w:r>
    </w:p>
    <w:p>
      <w:pPr>
        <w:pStyle w:val="Heading2"/>
        <w:widowControl w:val="1"/>
      </w:pPr>
      <w:r>
        <w:rPr>
          <w:lang w:val="ru-RU"/>
        </w:rPr>
        <w:t>Б-08. Финансирование — физическая готовность</w:t>
      </w:r>
    </w:p>
    <w:p>
      <w:pPr>
        <w:spacing w:before="0" w:after="12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Основные показатели: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Отклонение стоимости и сроков; разрыв кассового исполнения и физического результата; стоимость единицы продукции.</w:t>
      </w:r>
    </w:p>
    <w:p>
      <w:pPr>
        <w:pStyle w:val="Heading2"/>
        <w:widowControl w:val="1"/>
      </w:pPr>
      <w:r>
        <w:rPr>
          <w:lang w:val="ru-RU"/>
        </w:rPr>
        <w:t>Б-09. Инновационность — надёжность</w:t>
      </w:r>
    </w:p>
    <w:p>
      <w:pPr>
        <w:spacing w:before="0" w:after="12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Основные показатели: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Частота отказов; эксплуатационная готовность; доля пилотов, перешедших в серию; безопасность испытаний.</w:t>
      </w:r>
    </w:p>
    <w:p>
      <w:pPr>
        <w:pStyle w:val="Heading2"/>
        <w:widowControl w:val="1"/>
      </w:pPr>
      <w:r>
        <w:rPr>
          <w:lang w:val="ru-RU"/>
        </w:rPr>
        <w:t>Б-10. Научная — технологическая — производственная зрелость</w:t>
      </w:r>
    </w:p>
    <w:p>
      <w:pPr>
        <w:spacing w:before="0" w:after="12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Основные показатели: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Разрывы TRL/MRL/SRL; сертифицированная мощность; срок от разработки до серии.</w:t>
      </w:r>
    </w:p>
    <w:p>
      <w:pPr>
        <w:pStyle w:val="Heading2"/>
        <w:widowControl w:val="1"/>
      </w:pPr>
      <w:r>
        <w:rPr>
          <w:lang w:val="ru-RU"/>
        </w:rPr>
        <w:t>Б-11. Человеческий капитал — автоматизация</w:t>
      </w:r>
    </w:p>
    <w:p>
      <w:pPr>
        <w:spacing w:before="0" w:after="12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Основные показатели: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Обеспеченность компетенциями; срок подготовки; производительность; ошибки и инциденты.</w:t>
      </w:r>
    </w:p>
    <w:p>
      <w:pPr>
        <w:pStyle w:val="Heading2"/>
        <w:widowControl w:val="1"/>
      </w:pPr>
      <w:r>
        <w:rPr>
          <w:lang w:val="ru-RU"/>
        </w:rPr>
        <w:t>Б-12. Централизация — территориальная самостоятельность</w:t>
      </w:r>
    </w:p>
    <w:p>
      <w:pPr>
        <w:spacing w:before="0" w:after="12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Основные показатели: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Доля решений на минимально достаточном уровне; скорость межведомственного решения; региональная доступность.</w:t>
      </w:r>
    </w:p>
    <w:p>
      <w:pPr>
        <w:pStyle w:val="Heading2"/>
        <w:widowControl w:val="1"/>
      </w:pPr>
      <w:r>
        <w:rPr>
          <w:lang w:val="ru-RU"/>
        </w:rPr>
        <w:t>Б-13. Нагрузка инфраструктуры — резерв устойчивости</w:t>
      </w:r>
    </w:p>
    <w:p>
      <w:pPr>
        <w:spacing w:before="0" w:after="12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Основные показатели: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Пиковая нагрузка; резерв мощности; выполнение N−1/N−2; время восстановления; автономность.</w:t>
      </w:r>
    </w:p>
    <w:p>
      <w:pPr>
        <w:pStyle w:val="Heading2"/>
        <w:widowControl w:val="1"/>
      </w:pPr>
      <w:r>
        <w:rPr>
          <w:lang w:val="ru-RU"/>
        </w:rPr>
        <w:t>Б-14. Потребление ресурсов — восполнение</w:t>
      </w:r>
    </w:p>
    <w:p>
      <w:pPr>
        <w:spacing w:before="0" w:after="12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Основные показатели: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Энерго-, водо- и материалоёмкость; резерв в днях; защищённость источников; повторное использование.</w:t>
      </w:r>
    </w:p>
    <w:p>
      <w:pPr>
        <w:pStyle w:val="Heading2"/>
        <w:widowControl w:val="1"/>
      </w:pPr>
      <w:r>
        <w:rPr>
          <w:lang w:val="ru-RU"/>
        </w:rPr>
        <w:t>Б-15. Полезность данных — информационная безопасность</w:t>
      </w:r>
    </w:p>
    <w:p>
      <w:pPr>
        <w:spacing w:before="0" w:after="12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Основные показатели: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Полнота, актуальность и совместимость данных; нарушения; время обнаружения и прекращения доступа.</w:t>
      </w:r>
    </w:p>
    <w:p>
      <w:pPr>
        <w:pStyle w:val="Heading2"/>
        <w:widowControl w:val="1"/>
      </w:pPr>
      <w:r>
        <w:rPr>
          <w:lang w:val="ru-RU"/>
        </w:rPr>
        <w:t>Б-16. Скорость решения — качество — законность</w:t>
      </w:r>
    </w:p>
    <w:p>
      <w:pPr>
        <w:spacing w:before="0" w:after="12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Основные показатели: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Полный цикл решения; результат с первого предъявления; переделки; отмены и правовые возражения.</w:t>
      </w:r>
    </w:p>
    <w:p>
      <w:pPr>
        <w:pStyle w:val="Heading2"/>
        <w:widowControl w:val="1"/>
      </w:pPr>
      <w:r>
        <w:rPr>
          <w:lang w:val="ru-RU"/>
        </w:rPr>
        <w:t>Б-17. Концентрация — распределённая устойчивость</w:t>
      </w:r>
    </w:p>
    <w:p>
      <w:pPr>
        <w:spacing w:before="0" w:after="12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Основные показатели: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Концентрация поставщиков и узлов; единичные точки отказа; альтернативные маршруты; время замещения.</w:t>
      </w:r>
    </w:p>
    <w:p>
      <w:pPr>
        <w:pStyle w:val="Heading2"/>
        <w:widowControl w:val="1"/>
      </w:pPr>
      <w:r>
        <w:rPr>
          <w:lang w:val="ru-RU"/>
        </w:rPr>
        <w:t>Б-18. Операционная эффективность — социальная приемлемость</w:t>
      </w:r>
    </w:p>
    <w:p>
      <w:pPr>
        <w:spacing w:before="0" w:after="12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Основные показатели: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Охват; стоимость на получателя; распределение выгод и потерь; непрерывность жизненно важных услуг.</w:t>
      </w:r>
    </w:p>
    <w:p>
      <w:pPr>
        <w:pStyle w:val="Heading2"/>
        <w:widowControl w:val="1"/>
      </w:pPr>
      <w:r>
        <w:rPr>
          <w:lang w:val="ru-RU"/>
        </w:rPr>
        <w:t>Б-19. Экологическая нагрузка — восстановительная способность</w:t>
      </w:r>
    </w:p>
    <w:p>
      <w:pPr>
        <w:spacing w:before="0" w:after="12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Основные показатели: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Нагрузка к допустимой ёмкости территории; предотвращённый ущерб; скорость и полнота восстановления.</w:t>
      </w:r>
    </w:p>
    <w:p>
      <w:pPr>
        <w:spacing w:before="120" w:after="160" w:line="269" w:lineRule="auto"/>
        <w:ind w:left="173" w:right="72"/>
        <w:shd w:fill="FFF4D6"/>
        <w:pBdr>
          <w:left w:val="single" w:sz="18" w:space="8" w:color="9A6D00"/>
        </w:pBdr>
        <w:widowControl w:val="1"/>
      </w:pPr>
      <w:r>
        <w:rPr>
          <w:rFonts w:ascii="Arial" w:hAnsi="Arial" w:eastAsia="Arial"/>
          <w:b/>
          <w:i w:val="0"/>
          <w:color w:val="9A6D00"/>
          <w:sz w:val="18"/>
          <w:lang w:val="ru-RU"/>
        </w:rPr>
        <w:t xml:space="preserve">ЗАПРЕТ ИЗМЕНЕНИЯ ЦЕЛИ ЗАДНИМ ЧИСЛОМ  </w:t>
      </w:r>
      <w:r>
        <w:rPr>
          <w:rFonts w:ascii="Arial" w:hAnsi="Arial" w:eastAsia="Arial"/>
          <w:b w:val="0"/>
          <w:i w:val="0"/>
          <w:color w:val="172B3A"/>
          <w:sz w:val="21"/>
          <w:lang w:val="ru-RU"/>
        </w:rPr>
        <w:t>Целевые коридоры, веса, источники данных и критерии остановки фиксируются до получения результата. Их изменение требует новой версии паспорта, объяснения причин и повторного допуска.</w:t>
      </w:r>
    </w:p>
    <w:p>
      <w:pPr>
        <w:pStyle w:val="Heading1"/>
        <w:widowControl w:val="1"/>
      </w:pPr>
      <w:r>
        <w:rPr>
          <w:lang w:val="ru-RU"/>
        </w:rPr>
        <w:t>3. Плотностные показатели</w:t>
      </w:r>
    </w:p>
    <w:p>
      <w:p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Абсолютные объёмы дополняются плотностными показателями, чтобы крупный бюджет или масштаб не подменяли эффективность:</w:t>
      </w:r>
    </w:p>
    <w:p>
      <w:pPr>
        <w:spacing w:before="100" w:after="140"/>
        <w:jc w:val="center"/>
        <w:shd w:fill="F2F4F7"/>
        <w:widowControl w:val="1"/>
      </w:pPr>
      <w:r>
        <w:rPr>
          <w:rFonts w:ascii="Cambria Math" w:hAnsi="Cambria Math" w:eastAsia="Cambria Math"/>
          <w:b/>
          <w:i w:val="0"/>
          <w:color w:val="17365D"/>
          <w:sz w:val="21"/>
          <w:lang w:val="ru-RU"/>
        </w:rPr>
        <w:t>D_O = подтверждённое изменение результата / стоимость жизненного цикла</w:t>
      </w:r>
    </w:p>
    <w:p>
      <w:pPr>
        <w:spacing w:before="100" w:after="140"/>
        <w:jc w:val="center"/>
        <w:shd w:fill="F2F4F7"/>
        <w:widowControl w:val="1"/>
      </w:pPr>
      <w:r>
        <w:rPr>
          <w:rFonts w:ascii="Cambria Math" w:hAnsi="Cambria Math" w:eastAsia="Cambria Math"/>
          <w:b/>
          <w:i w:val="0"/>
          <w:color w:val="17365D"/>
          <w:sz w:val="21"/>
          <w:lang w:val="ru-RU"/>
        </w:rPr>
        <w:t>D_T = подтверждённое изменение результата / время</w:t>
      </w:r>
    </w:p>
    <w:p>
      <w:pPr>
        <w:spacing w:before="100" w:after="140"/>
        <w:jc w:val="center"/>
        <w:shd w:fill="F2F4F7"/>
        <w:widowControl w:val="1"/>
      </w:pPr>
      <w:r>
        <w:rPr>
          <w:rFonts w:ascii="Cambria Math" w:hAnsi="Cambria Math" w:eastAsia="Cambria Math"/>
          <w:b/>
          <w:i w:val="0"/>
          <w:color w:val="17365D"/>
          <w:sz w:val="21"/>
          <w:lang w:val="ru-RU"/>
        </w:rPr>
        <w:t>D_L = подтверждённое изменение результата / человеко-часы</w:t>
      </w:r>
    </w:p>
    <w:p>
      <w:pPr>
        <w:spacing w:before="100" w:after="140"/>
        <w:jc w:val="center"/>
        <w:shd w:fill="F2F4F7"/>
        <w:widowControl w:val="1"/>
      </w:pPr>
      <w:r>
        <w:rPr>
          <w:rFonts w:ascii="Cambria Math" w:hAnsi="Cambria Math" w:eastAsia="Cambria Math"/>
          <w:b/>
          <w:i w:val="0"/>
          <w:color w:val="17365D"/>
          <w:sz w:val="21"/>
          <w:lang w:val="ru-RU"/>
        </w:rPr>
        <w:t>D_S = подтверждённый предотвращённый среднегодовой ущерб / стоимость жизненного цикла</w:t>
      </w:r>
    </w:p>
    <w:p>
      <w:pPr>
        <w:spacing w:before="100" w:after="140"/>
        <w:jc w:val="center"/>
        <w:shd w:fill="F2F4F7"/>
        <w:widowControl w:val="1"/>
      </w:pPr>
      <w:r>
        <w:rPr>
          <w:rFonts w:ascii="Cambria Math" w:hAnsi="Cambria Math" w:eastAsia="Cambria Math"/>
          <w:b/>
          <w:i w:val="0"/>
          <w:color w:val="17365D"/>
          <w:sz w:val="21"/>
          <w:lang w:val="ru-RU"/>
        </w:rPr>
        <w:t>D_C = доступная критическая способность / критическая потребность</w:t>
      </w:r>
    </w:p>
    <w:p>
      <w:pPr>
        <w:spacing w:before="100" w:after="140"/>
        <w:jc w:val="center"/>
        <w:shd w:fill="F2F4F7"/>
        <w:widowControl w:val="1"/>
      </w:pPr>
      <w:r>
        <w:rPr>
          <w:rFonts w:ascii="Cambria Math" w:hAnsi="Cambria Math" w:eastAsia="Cambria Math"/>
          <w:b/>
          <w:i w:val="0"/>
          <w:color w:val="17365D"/>
          <w:sz w:val="21"/>
          <w:lang w:val="ru-RU"/>
        </w:rPr>
        <w:t>D_E = взвешенная доля критических показателей с подтверждёнными доказательствами</w:t>
      </w:r>
    </w:p>
    <w:p>
      <w:p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Плотности сопоставляются только для одинаковых функций, территорий, горизонтов и стресс-сценариев. Разнородные эффекты не сводятся в одну денежную величину без открытой и проверяемой методики преобразования.</w:t>
      </w:r>
    </w:p>
    <w:p>
      <w:pPr>
        <w:pStyle w:val="Heading1"/>
        <w:widowControl w:val="1"/>
      </w:pPr>
      <w:r>
        <w:rPr>
          <w:lang w:val="ru-RU"/>
        </w:rPr>
        <w:t>4. Оценка баланса и интегральный индекс</w:t>
      </w:r>
    </w:p>
    <w:p>
      <w:p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Для каждого KPI заранее выбирается функция нормирования: рост является положительным; снижение является положительным; либо значение должно находиться внутри целевого коридора. Нормированный показатель z принимает значение от 0 до 1.</w:t>
      </w:r>
    </w:p>
    <w:p>
      <w:pPr>
        <w:spacing w:before="100" w:after="140"/>
        <w:jc w:val="center"/>
        <w:shd w:fill="F2F4F7"/>
        <w:widowControl w:val="1"/>
      </w:pPr>
      <w:r>
        <w:rPr>
          <w:rFonts w:ascii="Cambria Math" w:hAnsi="Cambria Math" w:eastAsia="Cambria Math"/>
          <w:b/>
          <w:i w:val="0"/>
          <w:color w:val="17365D"/>
          <w:sz w:val="21"/>
          <w:lang w:val="ru-RU"/>
        </w:rPr>
        <w:t>B_j = 100 × Q_j × Π max(z_jk, 0,01) ^ α_jk,  где  Σ α_jk = 1</w:t>
      </w:r>
    </w:p>
    <w:p>
      <w:p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Q_j — коэффициент доказательности; α_jk — заранее утверждённый вес. Геометрическое среднее уменьшает возможность скрыть провал одного критического показателя высоким значением другого.</w:t>
      </w:r>
    </w:p>
    <w:p>
      <w:pPr>
        <w:spacing w:before="100" w:after="140"/>
        <w:jc w:val="center"/>
        <w:shd w:fill="F2F4F7"/>
        <w:widowControl w:val="1"/>
      </w:pPr>
      <w:r>
        <w:rPr>
          <w:rFonts w:ascii="Cambria Math" w:hAnsi="Cambria Math" w:eastAsia="Cambria Math"/>
          <w:b/>
          <w:i w:val="0"/>
          <w:color w:val="17365D"/>
          <w:sz w:val="21"/>
          <w:lang w:val="ru-RU"/>
        </w:rPr>
        <w:t>B_j(robust) = min [ B_j(base), B_j(stress) ]</w:t>
      </w:r>
    </w:p>
    <w:p>
      <w:pPr>
        <w:spacing w:before="100" w:after="140"/>
        <w:jc w:val="center"/>
        <w:shd w:fill="F2F4F7"/>
        <w:widowControl w:val="1"/>
      </w:pPr>
      <w:r>
        <w:rPr>
          <w:rFonts w:ascii="Cambria Math" w:hAnsi="Cambria Math" w:eastAsia="Cambria Math"/>
          <w:b/>
          <w:i w:val="0"/>
          <w:color w:val="17365D"/>
          <w:sz w:val="21"/>
          <w:lang w:val="ru-RU"/>
        </w:rPr>
        <w:t>I = 100 × Π [ B_j(robust) / 100 ] ^ w_j,  где  Σ w_j = 1</w:t>
      </w:r>
    </w:p>
    <w:p>
      <w:p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Одновременно с I публикуются худший критический баланс, число жёлтых и красных балансов, диапазон неопределённости и результаты стресс-сценария. Проектные пороги и формулы подлежат статистической и экспертной калибровке до нормативного применения.</w:t>
      </w:r>
    </w:p>
    <w:p>
      <w:pPr>
        <w:pStyle w:val="Heading1"/>
        <w:widowControl w:val="1"/>
      </w:pPr>
      <w:r>
        <w:rPr>
          <w:lang w:val="ru-RU"/>
        </w:rPr>
        <w:t>5. Проверка риска</w:t>
      </w:r>
    </w:p>
    <w:p>
      <w:pPr>
        <w:spacing w:before="100" w:after="140"/>
        <w:jc w:val="center"/>
        <w:shd w:fill="F2F4F7"/>
        <w:widowControl w:val="1"/>
      </w:pPr>
      <w:r>
        <w:rPr>
          <w:rFonts w:ascii="Cambria Math" w:hAnsi="Cambria Math" w:eastAsia="Cambria Math"/>
          <w:b/>
          <w:i w:val="0"/>
          <w:color w:val="17365D"/>
          <w:sz w:val="21"/>
          <w:lang w:val="ru-RU"/>
        </w:rPr>
        <w:t>RI_c = max [ E(L_c) / A_c ; CVaR_95,c / C_c ]</w:t>
      </w:r>
    </w:p>
    <w:p>
      <w:p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E(L_c) — ожидаемый ущерб по классу риска; A_c — допустимый ожидаемый ущерб; CVaR_95,c — средний ущерб в тяжёлом хвосте распределения; C_c — предельный ущерб тяжёлого сценария.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00"/>
        <w:gridCol w:w="2000"/>
        <w:gridCol w:w="5860"/>
      </w:tblGrid>
      <w:tr>
        <w:trPr>
          <w:tblHeader w:val="true"/>
        </w:trPr>
        <w:tc>
          <w:tcPr>
            <w:tcW w:type="dxa" w:w="1500"/>
            <w:shd w:fill="F2F4F7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/>
                <w:i w:val="0"/>
                <w:color w:val="172B3A"/>
                <w:sz w:val="18"/>
              </w:rPr>
              <w:t>Зона</w:t>
            </w:r>
          </w:p>
        </w:tc>
        <w:tc>
          <w:tcPr>
            <w:tcW w:type="dxa" w:w="2000"/>
            <w:shd w:fill="F2F4F7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/>
                <w:i w:val="0"/>
                <w:color w:val="172B3A"/>
                <w:sz w:val="18"/>
              </w:rPr>
              <w:t>Порог</w:t>
            </w:r>
          </w:p>
        </w:tc>
        <w:tc>
          <w:tcPr>
            <w:tcW w:type="dxa" w:w="5860"/>
            <w:shd w:fill="F2F4F7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/>
                <w:i w:val="0"/>
                <w:color w:val="172B3A"/>
                <w:sz w:val="18"/>
              </w:rPr>
              <w:t>Управленческий режим</w:t>
            </w:r>
          </w:p>
        </w:tc>
      </w:tr>
      <w:tr>
        <w:tc>
          <w:tcPr>
            <w:tcW w:type="dxa" w:w="150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8"/>
              </w:rPr>
              <w:t>Зелёная</w:t>
            </w:r>
          </w:p>
        </w:tc>
        <w:tc>
          <w:tcPr>
            <w:tcW w:type="dxa" w:w="200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8"/>
              </w:rPr>
              <w:t>RI ≤ 0,80</w:t>
            </w:r>
          </w:p>
        </w:tc>
        <w:tc>
          <w:tcPr>
            <w:tcW w:type="dxa" w:w="586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8"/>
              </w:rPr>
              <w:t>Риск ниже установленного предела; штатный контроль</w:t>
            </w:r>
          </w:p>
        </w:tc>
      </w:tr>
      <w:tr>
        <w:tc>
          <w:tcPr>
            <w:tcW w:type="dxa" w:w="150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8"/>
              </w:rPr>
              <w:t>Жёлтая</w:t>
            </w:r>
          </w:p>
        </w:tc>
        <w:tc>
          <w:tcPr>
            <w:tcW w:type="dxa" w:w="200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8"/>
              </w:rPr>
              <w:t>0,80 &lt; RI ≤ 1,00</w:t>
            </w:r>
          </w:p>
        </w:tc>
        <w:tc>
          <w:tcPr>
            <w:tcW w:type="dxa" w:w="586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8"/>
              </w:rPr>
              <w:t>Пилот с лимитами, усиленным мониторингом и планом коррекции</w:t>
            </w:r>
          </w:p>
        </w:tc>
      </w:tr>
      <w:tr>
        <w:tc>
          <w:tcPr>
            <w:tcW w:type="dxa" w:w="150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8"/>
              </w:rPr>
              <w:t>Красная</w:t>
            </w:r>
          </w:p>
        </w:tc>
        <w:tc>
          <w:tcPr>
            <w:tcW w:type="dxa" w:w="200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8"/>
              </w:rPr>
              <w:t>RI &gt; 1,00 или запрещённый сценарий</w:t>
            </w:r>
          </w:p>
        </w:tc>
        <w:tc>
          <w:tcPr>
            <w:tcW w:type="dxa" w:w="586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8"/>
              </w:rPr>
              <w:t>Остановка, переработка или решение уполномоченного органа в специальном правовом режиме</w:t>
            </w:r>
          </w:p>
        </w:tc>
      </w:tr>
    </w:tbl>
    <w:p>
      <w:pPr>
        <w:spacing w:after="20"/>
        <w:widowControl w:val="1"/>
      </w:pPr>
    </w:p>
    <w:p>
      <w:p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Риски жизни и здоровья, обороноспособности, суверенного управления, критической инфраструктуры, финансовой устойчивости и окружающей среды взаимно не компенсируются.</w:t>
      </w:r>
    </w:p>
    <w:p>
      <w:pPr>
        <w:pStyle w:val="Heading1"/>
        <w:widowControl w:val="1"/>
      </w:pPr>
      <w:r>
        <w:rPr>
          <w:lang w:val="ru-RU"/>
        </w:rPr>
        <w:t>6. Экономический шлюз</w:t>
      </w:r>
    </w:p>
    <w:p>
      <w:pPr>
        <w:spacing w:before="100" w:after="140"/>
        <w:jc w:val="center"/>
        <w:shd w:fill="F2F4F7"/>
        <w:widowControl w:val="1"/>
      </w:pPr>
      <w:r>
        <w:rPr>
          <w:rFonts w:ascii="Cambria Math" w:hAnsi="Cambria Math" w:eastAsia="Cambria Math"/>
          <w:b/>
          <w:i w:val="0"/>
          <w:color w:val="17365D"/>
          <w:sz w:val="21"/>
          <w:lang w:val="ru-RU"/>
        </w:rPr>
        <w:t>NPV* = PV(прямые эффекты) + PV(предотвращённый ущерб) + PV(ценность устойчивости) − LCC − PV(внешние издержки)</w:t>
      </w:r>
    </w:p>
    <w:p>
      <w:pPr>
        <w:pStyle w:val="Heading2"/>
        <w:widowControl w:val="1"/>
      </w:pPr>
      <w:r>
        <w:rPr>
          <w:lang w:val="ru-RU"/>
        </w:rPr>
        <w:t>Гражданские решения</w:t>
      </w:r>
    </w:p>
    <w:p>
      <w:p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Один эффект учитывается только один раз. Для гражданских решений проверяются NPV, BCR, стоимость жизненного цикла, бюджетная доступность в стресс-сценарии и не менее двух альтернатив, включая вариант без вмешательства.</w:t>
      </w:r>
    </w:p>
    <w:p>
      <w:pPr>
        <w:pStyle w:val="Heading2"/>
        <w:widowControl w:val="1"/>
      </w:pPr>
      <w:r>
        <w:rPr>
          <w:lang w:val="ru-RU"/>
        </w:rPr>
        <w:t>Оборонные решения</w:t>
      </w:r>
    </w:p>
    <w:p>
      <w:p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Для оборонных решений, где денежная оценка результата некорректна, применяются стоимость-эффективность, изменение готовности, предотвращённый ущерб, живучесть, срок восстановления и обеспеченность полного жизненного цикла. Отрицательный коммерческий NPV не маскируется: необходимость должна быть обоснована задачей безопасности и превосходством над альтернативами.</w:t>
      </w:r>
    </w:p>
    <w:p>
      <w:pPr>
        <w:pStyle w:val="Heading1"/>
        <w:widowControl w:val="1"/>
      </w:pPr>
      <w:r>
        <w:rPr>
          <w:lang w:val="ru-RU"/>
        </w:rPr>
        <w:t>7. Реестр доказательств</w:t>
      </w:r>
    </w:p>
    <w:p>
      <w:p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Для каждого критического тезиса создаётся запись: идентификатор решения и баланса; проверяемая гипотеза; исходное и целевое значение; метод измерения; первичный источник; дата и версия; владелец данных; независимый проверяющий; класс доказательств; неопределённость; отклонения и принятое решение.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200"/>
        <w:gridCol w:w="6560"/>
        <w:gridCol w:w="1600"/>
      </w:tblGrid>
      <w:tr>
        <w:trPr>
          <w:tblHeader w:val="true"/>
        </w:trPr>
        <w:tc>
          <w:tcPr>
            <w:tcW w:type="dxa" w:w="1200"/>
            <w:shd w:fill="F2F4F7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/>
                <w:i w:val="0"/>
                <w:color w:val="172B3A"/>
                <w:sz w:val="18"/>
              </w:rPr>
              <w:t>Класс</w:t>
            </w:r>
          </w:p>
        </w:tc>
        <w:tc>
          <w:tcPr>
            <w:tcW w:type="dxa" w:w="6560"/>
            <w:shd w:fill="F2F4F7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/>
                <w:i w:val="0"/>
                <w:color w:val="172B3A"/>
                <w:sz w:val="18"/>
              </w:rPr>
              <w:t>Основание</w:t>
            </w:r>
          </w:p>
        </w:tc>
        <w:tc>
          <w:tcPr>
            <w:tcW w:type="dxa" w:w="1600"/>
            <w:shd w:fill="F2F4F7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/>
                <w:i w:val="0"/>
                <w:color w:val="172B3A"/>
                <w:sz w:val="18"/>
              </w:rPr>
              <w:t>Коэффициент</w:t>
            </w:r>
          </w:p>
        </w:tc>
      </w:tr>
      <w:tr>
        <w:tc>
          <w:tcPr>
            <w:tcW w:type="dxa" w:w="120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8"/>
              </w:rPr>
              <w:t>Д-0</w:t>
            </w:r>
          </w:p>
        </w:tc>
        <w:tc>
          <w:tcPr>
            <w:tcW w:type="dxa" w:w="656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8"/>
              </w:rPr>
              <w:t>Предположение без наблюдаемых данных</w:t>
            </w:r>
          </w:p>
        </w:tc>
        <w:tc>
          <w:tcPr>
            <w:tcW w:type="dxa" w:w="160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8"/>
              </w:rPr>
              <w:t>0,00</w:t>
            </w:r>
          </w:p>
        </w:tc>
      </w:tr>
      <w:tr>
        <w:tc>
          <w:tcPr>
            <w:tcW w:type="dxa" w:w="120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8"/>
              </w:rPr>
              <w:t>Д-1</w:t>
            </w:r>
          </w:p>
        </w:tc>
        <w:tc>
          <w:tcPr>
            <w:tcW w:type="dxa" w:w="656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8"/>
              </w:rPr>
              <w:t>Экспертная оценка или внутренний расчёт</w:t>
            </w:r>
          </w:p>
        </w:tc>
        <w:tc>
          <w:tcPr>
            <w:tcW w:type="dxa" w:w="160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8"/>
              </w:rPr>
              <w:t>0,40</w:t>
            </w:r>
          </w:p>
        </w:tc>
      </w:tr>
      <w:tr>
        <w:tc>
          <w:tcPr>
            <w:tcW w:type="dxa" w:w="120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8"/>
              </w:rPr>
              <w:t>Д-2</w:t>
            </w:r>
          </w:p>
        </w:tc>
        <w:tc>
          <w:tcPr>
            <w:tcW w:type="dxa" w:w="656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8"/>
              </w:rPr>
              <w:t>Инструментальные или административные данные</w:t>
            </w:r>
          </w:p>
        </w:tc>
        <w:tc>
          <w:tcPr>
            <w:tcW w:type="dxa" w:w="160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8"/>
              </w:rPr>
              <w:t>0,70</w:t>
            </w:r>
          </w:p>
        </w:tc>
      </w:tr>
      <w:tr>
        <w:tc>
          <w:tcPr>
            <w:tcW w:type="dxa" w:w="120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8"/>
              </w:rPr>
              <w:t>Д-3</w:t>
            </w:r>
          </w:p>
        </w:tc>
        <w:tc>
          <w:tcPr>
            <w:tcW w:type="dxa" w:w="656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8"/>
              </w:rPr>
              <w:t>Независимая проверка или воспроизведение</w:t>
            </w:r>
          </w:p>
        </w:tc>
        <w:tc>
          <w:tcPr>
            <w:tcW w:type="dxa" w:w="160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8"/>
              </w:rPr>
              <w:t>0,90</w:t>
            </w:r>
          </w:p>
        </w:tc>
      </w:tr>
      <w:tr>
        <w:tc>
          <w:tcPr>
            <w:tcW w:type="dxa" w:w="120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8"/>
              </w:rPr>
              <w:t>Д-4</w:t>
            </w:r>
          </w:p>
        </w:tc>
        <w:tc>
          <w:tcPr>
            <w:tcW w:type="dxa" w:w="656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8"/>
              </w:rPr>
              <w:t>Аудит, сертифицированное измерение или официально подтверждённый массив</w:t>
            </w:r>
          </w:p>
        </w:tc>
        <w:tc>
          <w:tcPr>
            <w:tcW w:type="dxa" w:w="160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8"/>
              </w:rPr>
              <w:t>1,00</w:t>
            </w:r>
          </w:p>
        </w:tc>
      </w:tr>
    </w:tbl>
    <w:p>
      <w:pPr>
        <w:spacing w:after="20"/>
        <w:widowControl w:val="1"/>
      </w:pPr>
    </w:p>
    <w:p>
      <w:p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Для допуска пилота критические KPI должны иметь класс не ниже Д-2. Для масштабирования — не ниже Д-3, а показатели безопасности и фактических затрат — Д-3 или Д-4.</w:t>
      </w:r>
    </w:p>
    <w:p>
      <w:pPr>
        <w:pStyle w:val="Heading1"/>
        <w:widowControl w:val="1"/>
      </w:pPr>
      <w:r>
        <w:rPr>
          <w:lang w:val="ru-RU"/>
        </w:rPr>
        <w:t>8. Светофор допуска решений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300"/>
        <w:gridCol w:w="1500"/>
        <w:gridCol w:w="4360"/>
        <w:gridCol w:w="2200"/>
      </w:tblGrid>
      <w:tr>
        <w:trPr>
          <w:tblHeader w:val="true"/>
        </w:trPr>
        <w:tc>
          <w:tcPr>
            <w:tcW w:type="dxa" w:w="1300"/>
            <w:shd w:fill="F2F4F7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/>
                <w:i w:val="0"/>
                <w:color w:val="172B3A"/>
                <w:sz w:val="16"/>
              </w:rPr>
              <w:t>Статус</w:t>
            </w:r>
          </w:p>
        </w:tc>
        <w:tc>
          <w:tcPr>
            <w:tcW w:type="dxa" w:w="1500"/>
            <w:shd w:fill="F2F4F7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/>
                <w:i w:val="0"/>
                <w:color w:val="172B3A"/>
                <w:sz w:val="16"/>
              </w:rPr>
              <w:t>Интегральный индекс</w:t>
            </w:r>
          </w:p>
        </w:tc>
        <w:tc>
          <w:tcPr>
            <w:tcW w:type="dxa" w:w="4360"/>
            <w:shd w:fill="F2F4F7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/>
                <w:i w:val="0"/>
                <w:color w:val="172B3A"/>
                <w:sz w:val="16"/>
              </w:rPr>
              <w:t>Обязательные условия</w:t>
            </w:r>
          </w:p>
        </w:tc>
        <w:tc>
          <w:tcPr>
            <w:tcW w:type="dxa" w:w="2200"/>
            <w:shd w:fill="F2F4F7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/>
                <w:i w:val="0"/>
                <w:color w:val="172B3A"/>
                <w:sz w:val="16"/>
              </w:rPr>
              <w:t>Решение</w:t>
            </w:r>
          </w:p>
        </w:tc>
      </w:tr>
      <w:tr>
        <w:tc>
          <w:tcPr>
            <w:tcW w:type="dxa" w:w="130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6"/>
              </w:rPr>
              <w:t>Зелёный</w:t>
            </w:r>
          </w:p>
        </w:tc>
        <w:tc>
          <w:tcPr>
            <w:tcW w:type="dxa" w:w="150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6"/>
              </w:rPr>
              <w:t>I ≥ 75</w:t>
            </w:r>
          </w:p>
        </w:tc>
        <w:tc>
          <w:tcPr>
            <w:tcW w:type="dxa" w:w="436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6"/>
              </w:rPr>
              <w:t>Критические балансы ≥ 65; Q ≥ 0,80; риск зелёный; LCC обеспечена; эффект подтверждён</w:t>
            </w:r>
          </w:p>
        </w:tc>
        <w:tc>
          <w:tcPr>
            <w:tcW w:type="dxa" w:w="220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6"/>
              </w:rPr>
              <w:t>Допуск к контролируемому масштабированию</w:t>
            </w:r>
          </w:p>
        </w:tc>
      </w:tr>
      <w:tr>
        <w:tc>
          <w:tcPr>
            <w:tcW w:type="dxa" w:w="130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6"/>
              </w:rPr>
              <w:t>Жёлтый</w:t>
            </w:r>
          </w:p>
        </w:tc>
        <w:tc>
          <w:tcPr>
            <w:tcW w:type="dxa" w:w="150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6"/>
              </w:rPr>
              <w:t>55 ≤ I &lt; 75</w:t>
            </w:r>
          </w:p>
        </w:tc>
        <w:tc>
          <w:tcPr>
            <w:tcW w:type="dxa" w:w="436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6"/>
              </w:rPr>
              <w:t>Q = 0,60–0,79; риск у предела; экономика чувствительна</w:t>
            </w:r>
          </w:p>
        </w:tc>
        <w:tc>
          <w:tcPr>
            <w:tcW w:type="dxa" w:w="220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6"/>
              </w:rPr>
              <w:t>Только ограниченный пилот с лимитами и условиями остановки</w:t>
            </w:r>
          </w:p>
        </w:tc>
      </w:tr>
      <w:tr>
        <w:tc>
          <w:tcPr>
            <w:tcW w:type="dxa" w:w="130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6"/>
              </w:rPr>
              <w:t>Красный</w:t>
            </w:r>
          </w:p>
        </w:tc>
        <w:tc>
          <w:tcPr>
            <w:tcW w:type="dxa" w:w="150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6"/>
              </w:rPr>
              <w:t>I &lt; 55</w:t>
            </w:r>
          </w:p>
        </w:tc>
        <w:tc>
          <w:tcPr>
            <w:tcW w:type="dxa" w:w="436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6"/>
              </w:rPr>
              <w:t>Критический баланс &lt; 45; Q &lt; 0,60; риск превышен; нет базовой линии или правового основания</w:t>
            </w:r>
          </w:p>
        </w:tc>
        <w:tc>
          <w:tcPr>
            <w:tcW w:type="dxa" w:w="220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6"/>
              </w:rPr>
              <w:t>Остановка или переработка</w:t>
            </w:r>
          </w:p>
        </w:tc>
      </w:tr>
    </w:tbl>
    <w:p>
      <w:pPr>
        <w:spacing w:after="20"/>
        <w:widowControl w:val="1"/>
      </w:pPr>
    </w:p>
    <w:p>
      <w:pPr>
        <w:spacing w:before="120" w:after="160" w:line="269" w:lineRule="auto"/>
        <w:ind w:left="173" w:right="72"/>
        <w:shd w:fill="FBE9E7"/>
        <w:pBdr>
          <w:left w:val="single" w:sz="18" w:space="8" w:color="9B1C1C"/>
        </w:pBdr>
        <w:widowControl w:val="1"/>
      </w:pPr>
      <w:r>
        <w:rPr>
          <w:rFonts w:ascii="Arial" w:hAnsi="Arial" w:eastAsia="Arial"/>
          <w:b/>
          <w:i w:val="0"/>
          <w:color w:val="9B1C1C"/>
          <w:sz w:val="18"/>
          <w:lang w:val="ru-RU"/>
        </w:rPr>
        <w:t xml:space="preserve">ЖЁСТКОЕ ОГРАНИЧЕНИЕ  </w:t>
      </w:r>
      <w:r>
        <w:rPr>
          <w:rFonts w:ascii="Arial" w:hAnsi="Arial" w:eastAsia="Arial"/>
          <w:b w:val="0"/>
          <w:i w:val="0"/>
          <w:color w:val="172B3A"/>
          <w:sz w:val="21"/>
          <w:lang w:val="ru-RU"/>
        </w:rPr>
        <w:t>Зелёный интегральный индекс при наличии хотя бы одного красного критического ограничения запрещён.</w:t>
      </w:r>
    </w:p>
    <w:p>
      <w:pPr>
        <w:pStyle w:val="Heading1"/>
        <w:pageBreakBefore/>
        <w:widowControl w:val="1"/>
      </w:pPr>
      <w:r>
        <w:rPr>
          <w:lang w:val="ru-RU"/>
        </w:rPr>
        <w:t>9. Паспорт каждого баланса</w:t>
      </w:r>
    </w:p>
    <w:p>
      <w:pPr>
        <w:numPr>
          <w:ilvl w:val="0"/>
          <w:numId w:val="19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код, наименование, назначение и границы расчёта;</w:t>
      </w:r>
    </w:p>
    <w:p>
      <w:pPr>
        <w:numPr>
          <w:ilvl w:val="0"/>
          <w:numId w:val="19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гражданский или оборонный контур и режим доступа;</w:t>
      </w:r>
    </w:p>
    <w:p>
      <w:pPr>
        <w:numPr>
          <w:ilvl w:val="0"/>
          <w:numId w:val="19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пары балансируемых факторов и целевой коридор;</w:t>
      </w:r>
    </w:p>
    <w:p>
      <w:pPr>
        <w:numPr>
          <w:ilvl w:val="0"/>
          <w:numId w:val="19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KPI, единицы, формулы, исходная линия и источник;</w:t>
      </w:r>
    </w:p>
    <w:p>
      <w:pPr>
        <w:numPr>
          <w:ilvl w:val="0"/>
          <w:numId w:val="19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цели по контрольным горизонтам и плотностные показатели;</w:t>
      </w:r>
    </w:p>
    <w:p>
      <w:pPr>
        <w:numPr>
          <w:ilvl w:val="0"/>
          <w:numId w:val="19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базовый, благоприятный и стрессовый сценарии;</w:t>
      </w:r>
    </w:p>
    <w:p>
      <w:pPr>
        <w:numPr>
          <w:ilvl w:val="0"/>
          <w:numId w:val="19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реестр рисков и пределы допустимости;</w:t>
      </w:r>
    </w:p>
    <w:p>
      <w:pPr>
        <w:numPr>
          <w:ilvl w:val="0"/>
          <w:numId w:val="19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LCC, NPV/BCR либо стоимость-эффективность;</w:t>
      </w:r>
    </w:p>
    <w:p>
      <w:pPr>
        <w:numPr>
          <w:ilvl w:val="0"/>
          <w:numId w:val="19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класс доказательств и независимый проверяющий;</w:t>
      </w:r>
    </w:p>
    <w:p>
      <w:pPr>
        <w:numPr>
          <w:ilvl w:val="0"/>
          <w:numId w:val="19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зависимости от других балансов и корректирующие действия;</w:t>
      </w:r>
    </w:p>
    <w:p>
      <w:pPr>
        <w:numPr>
          <w:ilvl w:val="0"/>
          <w:numId w:val="19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владельцы результата, данных, риска и бюджета;</w:t>
      </w:r>
    </w:p>
    <w:p>
      <w:pPr>
        <w:numPr>
          <w:ilvl w:val="0"/>
          <w:numId w:val="19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версия, история изменений и решение органа допуска.</w:t>
      </w:r>
    </w:p>
    <w:p>
      <w:pPr>
        <w:pStyle w:val="Heading1"/>
        <w:widowControl w:val="1"/>
      </w:pPr>
      <w:r>
        <w:rPr>
          <w:lang w:val="ru-RU"/>
        </w:rPr>
        <w:t>10. Промежуточные балансы</w:t>
      </w:r>
    </w:p>
    <w:p>
      <w:p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Реестр сохраняет пять состояний: исходный баланс; прогнозный баланс; баланс после пилота; независимо подтверждённый баланс; эксплуатационный баланс.</w:t>
      </w:r>
    </w:p>
    <w:p>
      <w:pPr>
        <w:spacing w:before="100" w:after="140"/>
        <w:jc w:val="center"/>
        <w:shd w:fill="F2F4F7"/>
        <w:widowControl w:val="1"/>
      </w:pPr>
      <w:r>
        <w:rPr>
          <w:rFonts w:ascii="Cambria Math" w:hAnsi="Cambria Math" w:eastAsia="Cambria Math"/>
          <w:b/>
          <w:i w:val="0"/>
          <w:color w:val="17365D"/>
          <w:sz w:val="21"/>
          <w:lang w:val="ru-RU"/>
        </w:rPr>
        <w:t>ΔB_t = B_t − B_(t−1)</w:t>
      </w:r>
    </w:p>
    <w:p>
      <w:p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Финансирование выделяется траншами после достижения проверяемых промежуточных результатов. Невыполнение порога возвращает решение на корректировку, сокращение масштаба или закрытие. Изменение исходной линии после запуска допускается только как новая версия с раскрытием причины.</w:t>
      </w:r>
    </w:p>
    <w:p>
      <w:pPr>
        <w:pStyle w:val="Heading1"/>
        <w:widowControl w:val="1"/>
      </w:pPr>
      <w:r>
        <w:rPr>
          <w:lang w:val="ru-RU"/>
        </w:rPr>
        <w:t>11. Разделение гражданского и оборонного контуров</w:t>
      </w:r>
    </w:p>
    <w:p>
      <w:pPr>
        <w:numPr>
          <w:ilvl w:val="0"/>
          <w:numId w:val="20"/>
        </w:numPr>
        <w:spacing w:after="60" w:line="252" w:lineRule="auto"/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общая методология применяется без создания единой базы чувствительных данных;</w:t>
      </w:r>
    </w:p>
    <w:p>
      <w:pPr>
        <w:numPr>
          <w:ilvl w:val="0"/>
          <w:numId w:val="20"/>
        </w:numPr>
        <w:spacing w:after="60" w:line="252" w:lineRule="auto"/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контуры имеют отдельные реестры, бюджеты, модели риска, права доступа и органы допуска;</w:t>
      </w:r>
    </w:p>
    <w:p>
      <w:pPr>
        <w:numPr>
          <w:ilvl w:val="0"/>
          <w:numId w:val="20"/>
        </w:numPr>
        <w:spacing w:after="60" w:line="252" w:lineRule="auto"/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в общую панель передаются только обезличенные, рассекреченные или специально подготовленные агрегаты;</w:t>
      </w:r>
    </w:p>
    <w:p>
      <w:pPr>
        <w:numPr>
          <w:ilvl w:val="0"/>
          <w:numId w:val="20"/>
        </w:numPr>
        <w:spacing w:after="60" w:line="252" w:lineRule="auto"/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оборонный результат не компенсирует падение ниже минимального уровня жизненно важных гражданских функций;</w:t>
      </w:r>
    </w:p>
    <w:p>
      <w:pPr>
        <w:numPr>
          <w:ilvl w:val="0"/>
          <w:numId w:val="20"/>
        </w:numPr>
        <w:spacing w:after="60" w:line="252" w:lineRule="auto"/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гражданский экономический эффект не компенсирует красный уровень оборонной готовности;</w:t>
      </w:r>
    </w:p>
    <w:p>
      <w:pPr>
        <w:numPr>
          <w:ilvl w:val="0"/>
          <w:numId w:val="20"/>
        </w:numPr>
        <w:spacing w:after="60" w:line="252" w:lineRule="auto"/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для объектов двойного назначения оформляется карта интерфейса: гражданский минимум услуги, мобилизационная потребность, переключение, затраты, компенсация и возврат в штатный режим.</w:t>
      </w:r>
    </w:p>
    <w:p>
      <w:pPr>
        <w:pStyle w:val="Heading1"/>
        <w:widowControl w:val="1"/>
      </w:pPr>
      <w:r>
        <w:rPr>
          <w:lang w:val="ru-RU"/>
        </w:rPr>
        <w:t>12. Управленческий цикл</w:t>
      </w:r>
    </w:p>
    <w:p>
      <w:pPr>
        <w:numPr>
          <w:ilvl w:val="0"/>
          <w:numId w:val="21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регистрация проблемы, границ и исходной линии;</w:t>
      </w:r>
    </w:p>
    <w:p>
      <w:pPr>
        <w:numPr>
          <w:ilvl w:val="0"/>
          <w:numId w:val="21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формирование альтернатив, включая вариант без вмешательства;</w:t>
      </w:r>
    </w:p>
    <w:p>
      <w:pPr>
        <w:numPr>
          <w:ilvl w:val="0"/>
          <w:numId w:val="21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карта затрагиваемых балансов и владельцев;</w:t>
      </w:r>
    </w:p>
    <w:p>
      <w:pPr>
        <w:numPr>
          <w:ilvl w:val="0"/>
          <w:numId w:val="21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проверка данных и реестра доказательств;</w:t>
      </w:r>
    </w:p>
    <w:p>
      <w:pPr>
        <w:numPr>
          <w:ilvl w:val="0"/>
          <w:numId w:val="21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предварительный расчёт результата, риска и экономики;</w:t>
      </w:r>
    </w:p>
    <w:p>
      <w:pPr>
        <w:numPr>
          <w:ilvl w:val="0"/>
          <w:numId w:val="21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допуск ограниченного пилота;</w:t>
      </w:r>
    </w:p>
    <w:p>
      <w:pPr>
        <w:numPr>
          <w:ilvl w:val="0"/>
          <w:numId w:val="21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инструментальное измерение фактического результата;</w:t>
      </w:r>
    </w:p>
    <w:p>
      <w:pPr>
        <w:numPr>
          <w:ilvl w:val="0"/>
          <w:numId w:val="21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независимая верификация;</w:t>
      </w:r>
    </w:p>
    <w:p>
      <w:pPr>
        <w:numPr>
          <w:ilvl w:val="0"/>
          <w:numId w:val="21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последовательные шлюзы: результат → риск → экономика;</w:t>
      </w:r>
    </w:p>
    <w:p>
      <w:pPr>
        <w:numPr>
          <w:ilvl w:val="0"/>
          <w:numId w:val="21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масштабирование, корректировка либо остановка;</w:t>
      </w:r>
    </w:p>
    <w:p>
      <w:pPr>
        <w:numPr>
          <w:ilvl w:val="0"/>
          <w:numId w:val="21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ежемесячный мониторинг, квартальный пересмотр, полугодовой стресс-тест и ежегодное переутверждение;</w:t>
      </w:r>
    </w:p>
    <w:p>
      <w:pPr>
        <w:numPr>
          <w:ilvl w:val="0"/>
          <w:numId w:val="21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внеочередной пересмотр при существенном изменении угроз, стоимости, технологии или внешней среды.</w:t>
      </w:r>
    </w:p>
    <w:p>
      <w:pPr>
        <w:spacing w:before="120" w:after="160" w:line="269" w:lineRule="auto"/>
        <w:ind w:left="173" w:right="72"/>
        <w:shd w:fill="E9F3EC"/>
        <w:pBdr>
          <w:left w:val="single" w:sz="18" w:space="8" w:color="2F6B46"/>
        </w:pBdr>
        <w:widowControl w:val="1"/>
      </w:pPr>
      <w:r>
        <w:rPr>
          <w:rFonts w:ascii="Arial" w:hAnsi="Arial" w:eastAsia="Arial"/>
          <w:b/>
          <w:i w:val="0"/>
          <w:color w:val="2F6B46"/>
          <w:sz w:val="18"/>
          <w:lang w:val="ru-RU"/>
        </w:rPr>
        <w:t xml:space="preserve">ГЛАВНЫЙ ПРИНЦИП  </w:t>
      </w:r>
      <w:r>
        <w:rPr>
          <w:rFonts w:ascii="Arial" w:hAnsi="Arial" w:eastAsia="Arial"/>
          <w:b w:val="0"/>
          <w:i w:val="0"/>
          <w:color w:val="172B3A"/>
          <w:sz w:val="21"/>
          <w:lang w:val="ru-RU"/>
        </w:rPr>
        <w:t>Стратегическим является только то решение, которое даёт подтверждённый результат, выдерживает риск, обеспечено экономикой полного жизненного цикла и сохраняет устойчивость государства после достижения цели.</w:t>
      </w:r>
    </w:p>
    <w:p>
      <w:pPr>
        <w:widowControl w:val="1"/>
      </w:pPr>
      <w:r>
        <w:rPr>
          <w:lang w:val="ru-RU"/>
        </w:rPr>
        <w:br w:type="page"/>
      </w:r>
    </w:p>
    <w:p>
      <w:pPr>
        <w:keepNext/>
        <w:spacing w:before="0" w:after="120"/>
        <w:widowControl w:val="1"/>
      </w:pPr>
      <w:r>
        <w:rPr>
          <w:rFonts w:ascii="Arial" w:hAnsi="Arial" w:eastAsia="Arial"/>
          <w:b/>
          <w:i w:val="0"/>
          <w:color w:val="2E5B88"/>
          <w:sz w:val="17"/>
          <w:lang w:val="ru-RU"/>
        </w:rPr>
        <w:t>ПРИЛОЖЕНИЕ 4</w:t>
      </w:r>
    </w:p>
    <w:p>
      <w:pPr>
        <w:keepNext/>
        <w:spacing w:before="0" w:after="120"/>
        <w:jc w:val="left"/>
        <w:widowControl w:val="1"/>
      </w:pPr>
      <w:r>
        <w:rPr>
          <w:rFonts w:ascii="Arial" w:hAnsi="Arial" w:eastAsia="Arial"/>
          <w:b/>
          <w:i w:val="0"/>
          <w:color w:val="17365D"/>
          <w:sz w:val="50"/>
          <w:lang w:val="ru-RU"/>
        </w:rPr>
        <w:t>ПИЛОТ И ПРОЕКТ РЕШЕНИЙ</w:t>
      </w:r>
    </w:p>
    <w:p>
      <w:pPr>
        <w:keepNext/>
        <w:spacing w:before="0" w:after="320"/>
        <w:jc w:val="left"/>
        <w:widowControl w:val="1"/>
      </w:pPr>
      <w:r>
        <w:rPr>
          <w:rFonts w:ascii="Arial" w:hAnsi="Arial" w:eastAsia="Arial"/>
          <w:b w:val="0"/>
          <w:i w:val="0"/>
          <w:color w:val="5F6B76"/>
          <w:sz w:val="25"/>
          <w:lang w:val="ru-RU"/>
        </w:rPr>
        <w:t>Ограниченная, обратимая и аудируемая проверка методологии до рассмотрения вопроса о масштабировании</w:t>
      </w:r>
    </w:p>
    <w:p>
      <w:pPr>
        <w:spacing w:before="120" w:after="160" w:line="269" w:lineRule="auto"/>
        <w:ind w:left="173" w:right="72"/>
        <w:shd w:fill="E8EEF5"/>
        <w:pBdr>
          <w:left w:val="single" w:sz="18" w:space="8" w:color="2E5B88"/>
        </w:pBdr>
        <w:widowControl w:val="1"/>
      </w:pPr>
      <w:r>
        <w:rPr>
          <w:rFonts w:ascii="Arial" w:hAnsi="Arial" w:eastAsia="Arial"/>
          <w:b/>
          <w:i w:val="0"/>
          <w:color w:val="2E5B88"/>
          <w:sz w:val="18"/>
          <w:lang w:val="ru-RU"/>
        </w:rPr>
        <w:t xml:space="preserve">СТАТУС  </w:t>
      </w:r>
      <w:r>
        <w:rPr>
          <w:rFonts w:ascii="Arial" w:hAnsi="Arial" w:eastAsia="Arial"/>
          <w:b w:val="0"/>
          <w:i w:val="0"/>
          <w:color w:val="172B3A"/>
          <w:sz w:val="21"/>
          <w:lang w:val="ru-RU"/>
        </w:rPr>
        <w:t>Проект концептуального документа для предварительной экспертной оценки. Не является нормативным актом и не подменяет действующие документы стратегического планирования Российской Федерации.</w:t>
      </w:r>
    </w:p>
    <w:p>
      <w:pPr>
        <w:pStyle w:val="Heading1"/>
        <w:widowControl w:val="1"/>
      </w:pPr>
      <w:r>
        <w:rPr>
          <w:lang w:val="ru-RU"/>
        </w:rPr>
        <w:t>1. Предмет пилота</w:t>
      </w:r>
    </w:p>
    <w:p>
      <w:p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Пилот проверяет не философию и не бренд проекта, а прохождение полного управленческого цикла: сигнал → данные → доказательство → модель → варианты → решение → обеспеченный ресурсами проект → измеренный эффект → независимая проверка → корректировка.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600"/>
        <w:gridCol w:w="3500"/>
        <w:gridCol w:w="4260"/>
      </w:tblGrid>
      <w:tr>
        <w:trPr>
          <w:tblHeader w:val="true"/>
        </w:trPr>
        <w:tc>
          <w:tcPr>
            <w:tcW w:type="dxa" w:w="1600"/>
            <w:shd w:fill="F2F4F7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/>
                <w:i w:val="0"/>
                <w:color w:val="172B3A"/>
                <w:sz w:val="17"/>
              </w:rPr>
              <w:t>Контур</w:t>
            </w:r>
          </w:p>
        </w:tc>
        <w:tc>
          <w:tcPr>
            <w:tcW w:type="dxa" w:w="3500"/>
            <w:shd w:fill="F2F4F7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/>
                <w:i w:val="0"/>
                <w:color w:val="172B3A"/>
                <w:sz w:val="17"/>
              </w:rPr>
              <w:t>Предлагаемый объект</w:t>
            </w:r>
          </w:p>
        </w:tc>
        <w:tc>
          <w:tcPr>
            <w:tcW w:type="dxa" w:w="4260"/>
            <w:shd w:fill="F2F4F7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/>
                <w:i w:val="0"/>
                <w:color w:val="172B3A"/>
                <w:sz w:val="17"/>
              </w:rPr>
              <w:t>Что проверяется</w:t>
            </w:r>
          </w:p>
        </w:tc>
      </w:tr>
      <w:tr>
        <w:tc>
          <w:tcPr>
            <w:tcW w:type="dxa" w:w="160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7"/>
              </w:rPr>
              <w:t>Гражданский</w:t>
            </w:r>
          </w:p>
        </w:tc>
        <w:tc>
          <w:tcPr>
            <w:tcW w:type="dxa" w:w="350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7"/>
              </w:rPr>
              <w:t>Одна территория с природным, инфраструктурным и социально-экономическим риском</w:t>
            </w:r>
          </w:p>
        </w:tc>
        <w:tc>
          <w:tcPr>
            <w:tcW w:type="dxa" w:w="426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7"/>
              </w:rPr>
              <w:t>Раннее предупреждение, непрерывность критической функции, ресурсная мобилизация, общественная обратная связь</w:t>
            </w:r>
          </w:p>
        </w:tc>
      </w:tr>
      <w:tr>
        <w:tc>
          <w:tcPr>
            <w:tcW w:type="dxa" w:w="160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7"/>
              </w:rPr>
              <w:t>Защищённый</w:t>
            </w:r>
          </w:p>
        </w:tc>
        <w:tc>
          <w:tcPr>
            <w:tcW w:type="dxa" w:w="350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7"/>
              </w:rPr>
              <w:t>Один ведомственный либо двойного назначения процесс, определяемый уполномоченным органом</w:t>
            </w:r>
          </w:p>
        </w:tc>
        <w:tc>
          <w:tcPr>
            <w:tcW w:type="dxa" w:w="426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7"/>
              </w:rPr>
              <w:t>Требования готовности, защищённая аналитика, агрегированный интерфейс с гражданским контуром, отсутствие утечки данных</w:t>
            </w:r>
          </w:p>
        </w:tc>
      </w:tr>
    </w:tbl>
    <w:p>
      <w:pPr>
        <w:spacing w:after="20"/>
        <w:widowControl w:val="1"/>
      </w:pPr>
    </w:p>
    <w:p>
      <w:pPr>
        <w:pStyle w:val="Heading1"/>
        <w:widowControl w:val="1"/>
      </w:pPr>
      <w:r>
        <w:rPr>
          <w:lang w:val="ru-RU"/>
        </w:rPr>
        <w:t>2. Первые 100 дней</w:t>
      </w:r>
    </w:p>
    <w:p>
      <w:pPr>
        <w:numPr>
          <w:ilvl w:val="0"/>
          <w:numId w:val="22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назначить ответственное подразделение и временную экспертную группу;</w:t>
      </w:r>
    </w:p>
    <w:p>
      <w:pPr>
        <w:numPr>
          <w:ilvl w:val="0"/>
          <w:numId w:val="22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провести правовую, терминологическую, информационно-безопасностную и научно-методическую экспертизу;</w:t>
      </w:r>
    </w:p>
    <w:p>
      <w:pPr>
        <w:numPr>
          <w:ilvl w:val="0"/>
          <w:numId w:val="22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утвердить границы двух пилотов, владельцев результата и режимы доступа;</w:t>
      </w:r>
    </w:p>
    <w:p>
      <w:pPr>
        <w:numPr>
          <w:ilvl w:val="0"/>
          <w:numId w:val="22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зафиксировать исходные линии, показатели, источники данных и критерии остановки;</w:t>
      </w:r>
    </w:p>
    <w:p>
      <w:pPr>
        <w:numPr>
          <w:ilvl w:val="0"/>
          <w:numId w:val="22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провести инвентаризацию действующих ведомственных систем, данных, датчиков, моделей и производственных возможностей;</w:t>
      </w:r>
    </w:p>
    <w:p>
      <w:pPr>
        <w:numPr>
          <w:ilvl w:val="0"/>
          <w:numId w:val="22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сформировать паспорта угроз, решений, технологий и балансов;</w:t>
      </w:r>
    </w:p>
    <w:p>
      <w:pPr>
        <w:numPr>
          <w:ilvl w:val="0"/>
          <w:numId w:val="22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создать демонстрационную панель без подключения закрытых первичных данных;</w:t>
      </w:r>
    </w:p>
    <w:p>
      <w:pPr>
        <w:numPr>
          <w:ilvl w:val="0"/>
          <w:numId w:val="22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подготовить ТЗ, ТЭО и финансовую модель полного жизненного цикла;</w:t>
      </w:r>
    </w:p>
    <w:p>
      <w:pPr>
        <w:numPr>
          <w:ilvl w:val="0"/>
          <w:numId w:val="22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провести сценарное учение и независимый аудит результатов;</w:t>
      </w:r>
    </w:p>
    <w:p>
      <w:pPr>
        <w:numPr>
          <w:ilvl w:val="0"/>
          <w:numId w:val="22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представить доклад: продолжить, скорректировать или остановить.</w:t>
      </w:r>
    </w:p>
    <w:p>
      <w:pPr>
        <w:pStyle w:val="Heading1"/>
        <w:widowControl w:val="1"/>
      </w:pPr>
      <w:r>
        <w:rPr>
          <w:lang w:val="ru-RU"/>
        </w:rPr>
        <w:t>3. Дорожная карта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100"/>
        <w:gridCol w:w="1200"/>
        <w:gridCol w:w="3450"/>
        <w:gridCol w:w="2610"/>
      </w:tblGrid>
      <w:tr>
        <w:trPr>
          <w:tblHeader w:val="true"/>
        </w:trPr>
        <w:tc>
          <w:tcPr>
            <w:tcW w:type="dxa" w:w="2100"/>
            <w:shd w:fill="F2F4F7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/>
                <w:i w:val="0"/>
                <w:color w:val="172B3A"/>
                <w:sz w:val="16"/>
              </w:rPr>
              <w:t>Этап</w:t>
            </w:r>
          </w:p>
        </w:tc>
        <w:tc>
          <w:tcPr>
            <w:tcW w:type="dxa" w:w="1200"/>
            <w:shd w:fill="F2F4F7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/>
                <w:i w:val="0"/>
                <w:color w:val="172B3A"/>
                <w:sz w:val="16"/>
              </w:rPr>
              <w:t>Срок</w:t>
            </w:r>
          </w:p>
        </w:tc>
        <w:tc>
          <w:tcPr>
            <w:tcW w:type="dxa" w:w="3450"/>
            <w:shd w:fill="F2F4F7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/>
                <w:i w:val="0"/>
                <w:color w:val="172B3A"/>
                <w:sz w:val="16"/>
              </w:rPr>
              <w:t>Результат</w:t>
            </w:r>
          </w:p>
        </w:tc>
        <w:tc>
          <w:tcPr>
            <w:tcW w:type="dxa" w:w="2610"/>
            <w:shd w:fill="F2F4F7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/>
                <w:i w:val="0"/>
                <w:color w:val="172B3A"/>
                <w:sz w:val="16"/>
              </w:rPr>
              <w:t>Ворота</w:t>
            </w:r>
          </w:p>
        </w:tc>
      </w:tr>
      <w:tr>
        <w:tc>
          <w:tcPr>
            <w:tcW w:type="dxa" w:w="210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6"/>
              </w:rPr>
              <w:t>Предпроект</w:t>
            </w:r>
          </w:p>
        </w:tc>
        <w:tc>
          <w:tcPr>
            <w:tcW w:type="dxa" w:w="120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6"/>
              </w:rPr>
              <w:t>0–3 месяца</w:t>
            </w:r>
          </w:p>
        </w:tc>
        <w:tc>
          <w:tcPr>
            <w:tcW w:type="dxa" w:w="345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6"/>
              </w:rPr>
              <w:t>Мандат, границы, правовая модель, базовые линии, ТЗ</w:t>
            </w:r>
          </w:p>
        </w:tc>
        <w:tc>
          <w:tcPr>
            <w:tcW w:type="dxa" w:w="261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6"/>
              </w:rPr>
              <w:t>Допуск к разработке демонстратора</w:t>
            </w:r>
          </w:p>
        </w:tc>
      </w:tr>
      <w:tr>
        <w:tc>
          <w:tcPr>
            <w:tcW w:type="dxa" w:w="210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6"/>
              </w:rPr>
              <w:t>Демонстратор</w:t>
            </w:r>
          </w:p>
        </w:tc>
        <w:tc>
          <w:tcPr>
            <w:tcW w:type="dxa" w:w="120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6"/>
              </w:rPr>
              <w:t>3–6 месяцев</w:t>
            </w:r>
          </w:p>
        </w:tc>
        <w:tc>
          <w:tcPr>
            <w:tcW w:type="dxa" w:w="345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6"/>
              </w:rPr>
              <w:t>Реестры, панель балансов, сценарии, протокол доказательств</w:t>
            </w:r>
          </w:p>
        </w:tc>
        <w:tc>
          <w:tcPr>
            <w:tcW w:type="dxa" w:w="261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6"/>
              </w:rPr>
              <w:t>Работающий замкнутый аналитический цикл</w:t>
            </w:r>
          </w:p>
        </w:tc>
      </w:tr>
      <w:tr>
        <w:tc>
          <w:tcPr>
            <w:tcW w:type="dxa" w:w="210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6"/>
              </w:rPr>
              <w:t>Пилоты</w:t>
            </w:r>
          </w:p>
        </w:tc>
        <w:tc>
          <w:tcPr>
            <w:tcW w:type="dxa" w:w="120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6"/>
              </w:rPr>
              <w:t>6–12 месяцев</w:t>
            </w:r>
          </w:p>
        </w:tc>
        <w:tc>
          <w:tcPr>
            <w:tcW w:type="dxa" w:w="345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6"/>
              </w:rPr>
              <w:t>Два ограниченных пилота, измерения и независимая проверка</w:t>
            </w:r>
          </w:p>
        </w:tc>
        <w:tc>
          <w:tcPr>
            <w:tcW w:type="dxa" w:w="261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6"/>
              </w:rPr>
              <w:t>Подтверждённый результат либо мотивированная остановка</w:t>
            </w:r>
          </w:p>
        </w:tc>
      </w:tr>
      <w:tr>
        <w:tc>
          <w:tcPr>
            <w:tcW w:type="dxa" w:w="210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6"/>
              </w:rPr>
              <w:t>Межведомственный масштаб</w:t>
            </w:r>
          </w:p>
        </w:tc>
        <w:tc>
          <w:tcPr>
            <w:tcW w:type="dxa" w:w="120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6"/>
              </w:rPr>
              <w:t>12–36 месяцев</w:t>
            </w:r>
          </w:p>
        </w:tc>
        <w:tc>
          <w:tcPr>
            <w:tcW w:type="dxa" w:w="345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6"/>
              </w:rPr>
              <w:t>Интерфейсы, сеть территорий и отраслей, центры валидации</w:t>
            </w:r>
          </w:p>
        </w:tc>
        <w:tc>
          <w:tcPr>
            <w:tcW w:type="dxa" w:w="261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6"/>
              </w:rPr>
              <w:t>Воспроизводимость в двух независимых средах</w:t>
            </w:r>
          </w:p>
        </w:tc>
      </w:tr>
      <w:tr>
        <w:tc>
          <w:tcPr>
            <w:tcW w:type="dxa" w:w="210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6"/>
              </w:rPr>
              <w:t>Институционализация</w:t>
            </w:r>
          </w:p>
        </w:tc>
        <w:tc>
          <w:tcPr>
            <w:tcW w:type="dxa" w:w="120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6"/>
              </w:rPr>
              <w:t>36–60 месяцев</w:t>
            </w:r>
          </w:p>
        </w:tc>
        <w:tc>
          <w:tcPr>
            <w:tcW w:type="dxa" w:w="345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6"/>
              </w:rPr>
              <w:t>Нормативные процедуры, кадровая система, регулярные стресс-тесты</w:t>
            </w:r>
          </w:p>
        </w:tc>
        <w:tc>
          <w:tcPr>
            <w:tcW w:type="dxa" w:w="2610"/>
            <w:tcBorders>
              <w:top w:val="single" w:sz="6" w:space="0" w:color="C9D2DC"/>
              <w:left w:val="single" w:sz="6" w:space="0" w:color="C9D2DC"/>
              <w:bottom w:val="single" w:sz="6" w:space="0" w:color="C9D2DC"/>
              <w:right w:val="single" w:sz="6" w:space="0" w:color="C9D2DC"/>
              <w:insideH w:val="single" w:sz="6" w:space="0" w:color="C9D2DC"/>
              <w:insideV w:val="single" w:sz="6" w:space="0" w:color="C9D2DC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16"/>
              </w:rPr>
              <w:t>Интеграция подтверждённых элементов в государственный цикл</w:t>
            </w:r>
          </w:p>
        </w:tc>
      </w:tr>
    </w:tbl>
    <w:p>
      <w:pPr>
        <w:spacing w:after="20"/>
        <w:widowControl w:val="1"/>
      </w:pPr>
    </w:p>
    <w:p>
      <w:pPr>
        <w:pStyle w:val="Heading1"/>
        <w:widowControl w:val="1"/>
      </w:pPr>
      <w:r>
        <w:rPr>
          <w:lang w:val="ru-RU"/>
        </w:rPr>
        <w:t>4. Проект формулировок для рабочего рассмотрения</w:t>
      </w:r>
    </w:p>
    <w:p>
      <w:pPr>
        <w:numPr>
          <w:ilvl w:val="0"/>
          <w:numId w:val="23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Принять представленные материалы к предварительному экспертному рассмотрению без придания им статуса официального документа.</w:t>
      </w:r>
    </w:p>
    <w:p>
      <w:pPr>
        <w:numPr>
          <w:ilvl w:val="0"/>
          <w:numId w:val="23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Определить профильное подразделение Министерства обороны Российской Федерации для оценки материалов в части оборонной устойчивости, технологического суверенитета и экономики полного жизненного цикла.</w:t>
      </w:r>
    </w:p>
    <w:p>
      <w:pPr>
        <w:numPr>
          <w:ilvl w:val="0"/>
          <w:numId w:val="23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Рассмотреть целесообразность временной межведомственной экспертной группы без образования нового органа управления.</w:t>
      </w:r>
    </w:p>
    <w:p>
      <w:pPr>
        <w:numPr>
          <w:ilvl w:val="0"/>
          <w:numId w:val="23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Поручить подготовить правовое, научно-техническое, финансово-экономическое и информационно-безопасностное заключения.</w:t>
      </w:r>
    </w:p>
    <w:p>
      <w:pPr>
        <w:numPr>
          <w:ilvl w:val="0"/>
          <w:numId w:val="23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Определить одно гражданское и одно защищённое пилотное направление; утвердить владельцев результата, базовые показатели, лимиты и условия остановки.</w:t>
      </w:r>
    </w:p>
    <w:p>
      <w:pPr>
        <w:numPr>
          <w:ilvl w:val="0"/>
          <w:numId w:val="23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Обеспечить организационное и информационное разделение гражданского и оборонного контуров.</w:t>
      </w:r>
    </w:p>
    <w:p>
      <w:pPr>
        <w:numPr>
          <w:ilvl w:val="0"/>
          <w:numId w:val="23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Подготовить ТЗ, ТЭО, архитектуру данных, протокол валидации и план сценарного учения.</w:t>
      </w:r>
    </w:p>
    <w:p>
      <w:pPr>
        <w:numPr>
          <w:ilvl w:val="0"/>
          <w:numId w:val="23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Представить промежуточный доклад через шесть месяцев и итоговый доклад не позднее двенадцати месяцев после начала пилота.</w:t>
      </w:r>
    </w:p>
    <w:p>
      <w:pPr>
        <w:numPr>
          <w:ilvl w:val="0"/>
          <w:numId w:val="23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Рассматривать масштабирование только при подтверждённом результате, приемлемом риске, обеспеченной экономике полного жизненного цикла и независимой верификации.</w:t>
      </w:r>
    </w:p>
    <w:p>
      <w:pPr>
        <w:pStyle w:val="Heading1"/>
        <w:widowControl w:val="1"/>
      </w:pPr>
      <w:r>
        <w:rPr>
          <w:lang w:val="ru-RU"/>
        </w:rPr>
        <w:t>5. Минимальный комплект пилота</w:t>
      </w:r>
    </w:p>
    <w:p>
      <w:pPr>
        <w:numPr>
          <w:ilvl w:val="0"/>
          <w:numId w:val="24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паспорт проблемы, территории или функции и исходной линии;</w:t>
      </w:r>
    </w:p>
    <w:p>
      <w:pPr>
        <w:numPr>
          <w:ilvl w:val="0"/>
          <w:numId w:val="24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карта полномочий и заинтересованных сторон;</w:t>
      </w:r>
    </w:p>
    <w:p>
      <w:pPr>
        <w:numPr>
          <w:ilvl w:val="0"/>
          <w:numId w:val="24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паспорт решения и архитектурная схема;</w:t>
      </w:r>
    </w:p>
    <w:p>
      <w:pPr>
        <w:numPr>
          <w:ilvl w:val="0"/>
          <w:numId w:val="24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план управления данными, режимами доступа и кибербезопасностью;</w:t>
      </w:r>
    </w:p>
    <w:p>
      <w:pPr>
        <w:numPr>
          <w:ilvl w:val="0"/>
          <w:numId w:val="24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реестр рисков, стресс-сценарии и критерии остановки;</w:t>
      </w:r>
    </w:p>
    <w:p>
      <w:pPr>
        <w:numPr>
          <w:ilvl w:val="0"/>
          <w:numId w:val="24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финансовая модель жизненного цикла и источники обеспечения;</w:t>
      </w:r>
    </w:p>
    <w:p>
      <w:pPr>
        <w:numPr>
          <w:ilvl w:val="0"/>
          <w:numId w:val="24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протокол испытаний, показатели и реестр доказательств;</w:t>
      </w:r>
    </w:p>
    <w:p>
      <w:pPr>
        <w:numPr>
          <w:ilvl w:val="0"/>
          <w:numId w:val="24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заключение независимого валидатора;</w:t>
      </w:r>
    </w:p>
    <w:p>
      <w:pPr>
        <w:numPr>
          <w:ilvl w:val="0"/>
          <w:numId w:val="24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план эксплуатации, восстановления, обратимости и масштабирования.</w:t>
      </w:r>
    </w:p>
    <w:p>
      <w:pPr>
        <w:pStyle w:val="Heading1"/>
        <w:widowControl w:val="1"/>
      </w:pPr>
      <w:r>
        <w:rPr>
          <w:lang w:val="ru-RU"/>
        </w:rPr>
        <w:t>6. Решение, запрашиваемое у А. Р. Белоусова</w:t>
      </w:r>
    </w:p>
    <w:p>
      <w:pPr>
        <w:spacing w:before="120" w:after="160" w:line="269" w:lineRule="auto"/>
        <w:ind w:left="173" w:right="72"/>
        <w:shd w:fill="E8EEF5"/>
        <w:pBdr>
          <w:left w:val="single" w:sz="18" w:space="8" w:color="17365D"/>
        </w:pBdr>
        <w:widowControl w:val="1"/>
      </w:pPr>
      <w:r>
        <w:rPr>
          <w:rFonts w:ascii="Arial" w:hAnsi="Arial" w:eastAsia="Arial"/>
          <w:b/>
          <w:i w:val="0"/>
          <w:color w:val="17365D"/>
          <w:sz w:val="18"/>
          <w:lang w:val="ru-RU"/>
        </w:rPr>
        <w:t xml:space="preserve">ПРОСЬБА  </w:t>
      </w:r>
      <w:r>
        <w:rPr>
          <w:rFonts w:ascii="Arial" w:hAnsi="Arial" w:eastAsia="Arial"/>
          <w:b w:val="0"/>
          <w:i w:val="0"/>
          <w:color w:val="172B3A"/>
          <w:sz w:val="21"/>
          <w:lang w:val="ru-RU"/>
        </w:rPr>
        <w:t>Определить рабочий маршрут экспертного рассмотрения: профильное подразделение → междисциплинарная оценка → временная экспертная группа → два ограниченных пилота → доклад о целесообразности дальнейших решений.</w:t>
      </w:r>
    </w:p>
    <w:p>
      <w:pPr>
        <w:widowControl w:val="1"/>
      </w:pPr>
      <w:r>
        <w:rPr>
          <w:lang w:val="ru-RU"/>
        </w:rPr>
        <w:br w:type="page"/>
      </w:r>
    </w:p>
    <w:p>
      <w:pPr>
        <w:keepNext/>
        <w:spacing w:before="0" w:after="120"/>
        <w:widowControl w:val="1"/>
      </w:pPr>
      <w:r>
        <w:rPr>
          <w:rFonts w:ascii="Arial" w:hAnsi="Arial" w:eastAsia="Arial"/>
          <w:b/>
          <w:i w:val="0"/>
          <w:color w:val="2E5B88"/>
          <w:sz w:val="17"/>
          <w:lang w:val="ru-RU"/>
        </w:rPr>
        <w:t>ОСНОВАНИЯ И МАТЕРИАЛЫ</w:t>
      </w:r>
    </w:p>
    <w:p>
      <w:pPr>
        <w:keepNext/>
        <w:spacing w:before="0" w:after="160"/>
        <w:jc w:val="left"/>
        <w:widowControl w:val="1"/>
      </w:pPr>
      <w:r>
        <w:rPr>
          <w:rFonts w:ascii="Arial" w:hAnsi="Arial" w:eastAsia="Arial"/>
          <w:b/>
          <w:i w:val="0"/>
          <w:color w:val="17365D"/>
          <w:sz w:val="46"/>
          <w:lang w:val="ru-RU"/>
        </w:rPr>
        <w:t>НОРМАТИВНЫЕ ОПОРЫ И ВНУТРЕННИЕ ИСТОЧНИКИ</w:t>
      </w:r>
    </w:p>
    <w:p>
      <w:p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Нормативные ссылки приведены для экспертного ориентирования. При официальной подготовке проекта документа требуется актуальная правовая экспертиза и проверка действующей редакции каждого акта.</w:t>
      </w:r>
    </w:p>
    <w:p>
      <w:pPr>
        <w:pStyle w:val="Heading1"/>
        <w:widowControl w:val="1"/>
      </w:pPr>
      <w:r>
        <w:rPr>
          <w:lang w:val="ru-RU"/>
        </w:rPr>
        <w:t>1. Официальные основания</w:t>
      </w:r>
    </w:p>
    <w:p>
      <w:pPr>
        <w:spacing w:after="120"/>
        <w:widowControl w:val="1"/>
      </w:pPr>
      <w:r>
        <w:rPr>
          <w:rFonts w:ascii="Arial" w:hAnsi="Arial" w:eastAsia="Arial"/>
          <w:b/>
          <w:i w:val="0"/>
          <w:color w:val="172B3A"/>
          <w:sz w:val="19"/>
          <w:lang w:val="ru-RU"/>
        </w:rPr>
        <w:t xml:space="preserve">1. Указ Президента Российской Федерации от 14.05.2024. </w:t>
      </w:r>
      <w:r>
        <w:rPr>
          <w:rFonts w:ascii="Arial" w:hAnsi="Arial" w:eastAsia="Arial"/>
          <w:b w:val="0"/>
          <w:i w:val="0"/>
          <w:color w:val="000000"/>
          <w:sz w:val="19"/>
          <w:lang w:val="ru-RU"/>
        </w:rPr>
        <w:t xml:space="preserve">О назначении А. Р. Белоусова Министром обороны Российской Федерации. </w:t>
      </w:r>
      <w:hyperlink r:id="rId11">
        <w:r>
          <w:rPr>
            <w:rFonts w:ascii="Arial" w:hAnsi="Arial"/>
            <w:color w:val="2E5B88"/>
            <w:u w:val="single"/>
          </w:rPr>
          <w:t>официальный текст</w:t>
        </w:r>
      </w:hyperlink>
    </w:p>
    <w:p>
      <w:pPr>
        <w:spacing w:after="120"/>
        <w:widowControl w:val="1"/>
      </w:pPr>
      <w:r>
        <w:rPr>
          <w:rFonts w:ascii="Arial" w:hAnsi="Arial" w:eastAsia="Arial"/>
          <w:b/>
          <w:i w:val="0"/>
          <w:color w:val="172B3A"/>
          <w:sz w:val="19"/>
          <w:lang w:val="ru-RU"/>
        </w:rPr>
        <w:t xml:space="preserve">2. Федеральный закон от 28.12.2010 № 390-ФЗ. </w:t>
      </w:r>
      <w:r>
        <w:rPr>
          <w:rFonts w:ascii="Arial" w:hAnsi="Arial" w:eastAsia="Arial"/>
          <w:b w:val="0"/>
          <w:i w:val="0"/>
          <w:color w:val="000000"/>
          <w:sz w:val="19"/>
          <w:lang w:val="ru-RU"/>
        </w:rPr>
        <w:t xml:space="preserve">«О безопасности»: прогнозирование, выявление, анализ и оценка угроз. </w:t>
      </w:r>
      <w:hyperlink r:id="rId12">
        <w:r>
          <w:rPr>
            <w:rFonts w:ascii="Arial" w:hAnsi="Arial"/>
            <w:color w:val="2E5B88"/>
            <w:u w:val="single"/>
          </w:rPr>
          <w:t>официальный текст</w:t>
        </w:r>
      </w:hyperlink>
    </w:p>
    <w:p>
      <w:pPr>
        <w:spacing w:after="120"/>
        <w:widowControl w:val="1"/>
      </w:pPr>
      <w:r>
        <w:rPr>
          <w:rFonts w:ascii="Arial" w:hAnsi="Arial" w:eastAsia="Arial"/>
          <w:b/>
          <w:i w:val="0"/>
          <w:color w:val="172B3A"/>
          <w:sz w:val="19"/>
          <w:lang w:val="ru-RU"/>
        </w:rPr>
        <w:t xml:space="preserve">3. Указ Президента Российской Федерации от 02.07.2021 № 400. </w:t>
      </w:r>
      <w:r>
        <w:rPr>
          <w:rFonts w:ascii="Arial" w:hAnsi="Arial" w:eastAsia="Arial"/>
          <w:b w:val="0"/>
          <w:i w:val="0"/>
          <w:color w:val="000000"/>
          <w:sz w:val="19"/>
          <w:lang w:val="ru-RU"/>
        </w:rPr>
        <w:t xml:space="preserve">Стратегия национальной безопасности Российской Федерации. </w:t>
      </w:r>
      <w:hyperlink r:id="rId13">
        <w:r>
          <w:rPr>
            <w:rFonts w:ascii="Arial" w:hAnsi="Arial"/>
            <w:color w:val="2E5B88"/>
            <w:u w:val="single"/>
          </w:rPr>
          <w:t>официальный текст</w:t>
        </w:r>
      </w:hyperlink>
    </w:p>
    <w:p>
      <w:pPr>
        <w:spacing w:after="120"/>
        <w:widowControl w:val="1"/>
      </w:pPr>
      <w:r>
        <w:rPr>
          <w:rFonts w:ascii="Arial" w:hAnsi="Arial" w:eastAsia="Arial"/>
          <w:b/>
          <w:i w:val="0"/>
          <w:color w:val="172B3A"/>
          <w:sz w:val="19"/>
          <w:lang w:val="ru-RU"/>
        </w:rPr>
        <w:t xml:space="preserve">4. Федеральный закон от 28.06.2014 № 172-ФЗ. </w:t>
      </w:r>
      <w:r>
        <w:rPr>
          <w:rFonts w:ascii="Arial" w:hAnsi="Arial" w:eastAsia="Arial"/>
          <w:b w:val="0"/>
          <w:i w:val="0"/>
          <w:color w:val="000000"/>
          <w:sz w:val="19"/>
          <w:lang w:val="ru-RU"/>
        </w:rPr>
        <w:t xml:space="preserve">«О стратегическом планировании в Российской Федерации». </w:t>
      </w:r>
      <w:hyperlink r:id="rId14">
        <w:r>
          <w:rPr>
            <w:rFonts w:ascii="Arial" w:hAnsi="Arial"/>
            <w:color w:val="2E5B88"/>
            <w:u w:val="single"/>
          </w:rPr>
          <w:t>официальный текст</w:t>
        </w:r>
      </w:hyperlink>
    </w:p>
    <w:p>
      <w:pPr>
        <w:spacing w:after="120"/>
        <w:widowControl w:val="1"/>
      </w:pPr>
      <w:r>
        <w:rPr>
          <w:rFonts w:ascii="Arial" w:hAnsi="Arial" w:eastAsia="Arial"/>
          <w:b/>
          <w:i w:val="0"/>
          <w:color w:val="172B3A"/>
          <w:sz w:val="19"/>
          <w:lang w:val="ru-RU"/>
        </w:rPr>
        <w:t xml:space="preserve">5. Указ Президента Российской Федерации от 08.11.2021 № 633. </w:t>
      </w:r>
      <w:r>
        <w:rPr>
          <w:rFonts w:ascii="Arial" w:hAnsi="Arial" w:eastAsia="Arial"/>
          <w:b w:val="0"/>
          <w:i w:val="0"/>
          <w:color w:val="000000"/>
          <w:sz w:val="19"/>
          <w:lang w:val="ru-RU"/>
        </w:rPr>
        <w:t xml:space="preserve">Основы государственной политики в сфере стратегического планирования. </w:t>
      </w:r>
      <w:hyperlink r:id="rId15">
        <w:r>
          <w:rPr>
            <w:rFonts w:ascii="Arial" w:hAnsi="Arial"/>
            <w:color w:val="2E5B88"/>
            <w:u w:val="single"/>
          </w:rPr>
          <w:t>официальный текст</w:t>
        </w:r>
      </w:hyperlink>
    </w:p>
    <w:p>
      <w:pPr>
        <w:spacing w:after="120"/>
        <w:widowControl w:val="1"/>
      </w:pPr>
      <w:r>
        <w:rPr>
          <w:rFonts w:ascii="Arial" w:hAnsi="Arial" w:eastAsia="Arial"/>
          <w:b/>
          <w:i w:val="0"/>
          <w:color w:val="172B3A"/>
          <w:sz w:val="19"/>
          <w:lang w:val="ru-RU"/>
        </w:rPr>
        <w:t xml:space="preserve">6. Указ Президента Российской Федерации от 28.02.2024 № 145. </w:t>
      </w:r>
      <w:r>
        <w:rPr>
          <w:rFonts w:ascii="Arial" w:hAnsi="Arial" w:eastAsia="Arial"/>
          <w:b w:val="0"/>
          <w:i w:val="0"/>
          <w:color w:val="000000"/>
          <w:sz w:val="19"/>
          <w:lang w:val="ru-RU"/>
        </w:rPr>
        <w:t xml:space="preserve">Стратегия научно-технологического развития Российской Федерации. </w:t>
      </w:r>
      <w:hyperlink r:id="rId16">
        <w:r>
          <w:rPr>
            <w:rFonts w:ascii="Arial" w:hAnsi="Arial"/>
            <w:color w:val="2E5B88"/>
            <w:u w:val="single"/>
          </w:rPr>
          <w:t>официальный текст</w:t>
        </w:r>
      </w:hyperlink>
    </w:p>
    <w:p>
      <w:pPr>
        <w:spacing w:after="120"/>
        <w:widowControl w:val="1"/>
      </w:pPr>
      <w:r>
        <w:rPr>
          <w:rFonts w:ascii="Arial" w:hAnsi="Arial" w:eastAsia="Arial"/>
          <w:b/>
          <w:i w:val="0"/>
          <w:color w:val="172B3A"/>
          <w:sz w:val="19"/>
          <w:lang w:val="ru-RU"/>
        </w:rPr>
        <w:t xml:space="preserve">7. Указ Президента Российской Федерации от 07.05.2024 № 309. </w:t>
      </w:r>
      <w:r>
        <w:rPr>
          <w:rFonts w:ascii="Arial" w:hAnsi="Arial" w:eastAsia="Arial"/>
          <w:b w:val="0"/>
          <w:i w:val="0"/>
          <w:color w:val="000000"/>
          <w:sz w:val="19"/>
          <w:lang w:val="ru-RU"/>
        </w:rPr>
        <w:t xml:space="preserve">Национальные цели развития до 2030 года и на перспективу до 2036 года. </w:t>
      </w:r>
      <w:hyperlink r:id="rId17">
        <w:r>
          <w:rPr>
            <w:rFonts w:ascii="Arial" w:hAnsi="Arial"/>
            <w:color w:val="2E5B88"/>
            <w:u w:val="single"/>
          </w:rPr>
          <w:t>официальный текст</w:t>
        </w:r>
      </w:hyperlink>
    </w:p>
    <w:p>
      <w:pPr>
        <w:spacing w:after="120"/>
        <w:widowControl w:val="1"/>
      </w:pPr>
      <w:r>
        <w:rPr>
          <w:rFonts w:ascii="Arial" w:hAnsi="Arial" w:eastAsia="Arial"/>
          <w:b/>
          <w:i w:val="0"/>
          <w:color w:val="172B3A"/>
          <w:sz w:val="19"/>
          <w:lang w:val="ru-RU"/>
        </w:rPr>
        <w:t xml:space="preserve">8. Встреча Президента Российской Федерации с командующими войсками военных округов, 15.05.2024. </w:t>
      </w:r>
      <w:r>
        <w:rPr>
          <w:rFonts w:ascii="Arial" w:hAnsi="Arial" w:eastAsia="Arial"/>
          <w:b w:val="0"/>
          <w:i w:val="0"/>
          <w:color w:val="000000"/>
          <w:sz w:val="19"/>
          <w:lang w:val="ru-RU"/>
        </w:rPr>
        <w:t xml:space="preserve">Задача встроить экономику Министерства обороны и силового блока в общую экономику страны. </w:t>
      </w:r>
      <w:hyperlink r:id="rId18">
        <w:r>
          <w:rPr>
            <w:rFonts w:ascii="Arial" w:hAnsi="Arial"/>
            <w:color w:val="2E5B88"/>
            <w:u w:val="single"/>
          </w:rPr>
          <w:t>официальный текст</w:t>
        </w:r>
      </w:hyperlink>
    </w:p>
    <w:p>
      <w:pPr>
        <w:spacing w:after="120"/>
        <w:widowControl w:val="1"/>
      </w:pPr>
      <w:r>
        <w:rPr>
          <w:rFonts w:ascii="Arial" w:hAnsi="Arial" w:eastAsia="Arial"/>
          <w:b/>
          <w:i w:val="0"/>
          <w:color w:val="172B3A"/>
          <w:sz w:val="19"/>
          <w:lang w:val="ru-RU"/>
        </w:rPr>
        <w:t xml:space="preserve">9. Встреча Президента Российской Федерации с руководством Министерства обороны, 05.08.2026. </w:t>
      </w:r>
      <w:r>
        <w:rPr>
          <w:rFonts w:ascii="Arial" w:hAnsi="Arial" w:eastAsia="Arial"/>
          <w:b w:val="0"/>
          <w:i w:val="0"/>
          <w:color w:val="000000"/>
          <w:sz w:val="19"/>
          <w:lang w:val="ru-RU"/>
        </w:rPr>
        <w:t xml:space="preserve">Подтверждение актуального статуса Министра обороны Российской Федерации. </w:t>
      </w:r>
      <w:hyperlink r:id="rId19">
        <w:r>
          <w:rPr>
            <w:rFonts w:ascii="Arial" w:hAnsi="Arial"/>
            <w:color w:val="2E5B88"/>
            <w:u w:val="single"/>
          </w:rPr>
          <w:t>официальный текст</w:t>
        </w:r>
      </w:hyperlink>
    </w:p>
    <w:p>
      <w:pPr>
        <w:pStyle w:val="Heading1"/>
        <w:pageBreakBefore/>
        <w:widowControl w:val="1"/>
      </w:pPr>
      <w:r>
        <w:rPr>
          <w:lang w:val="ru-RU"/>
        </w:rPr>
        <w:t>2. Внутренние концептуальные материалы проекта</w:t>
      </w:r>
    </w:p>
    <w:p>
      <w:pPr>
        <w:numPr>
          <w:ilvl w:val="0"/>
          <w:numId w:val="25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«Белая книга кооператива СПЕЦЗАЩИТА», версия 1.0 от 18 августа 2026 года;</w:t>
      </w:r>
    </w:p>
    <w:p>
      <w:pPr>
        <w:numPr>
          <w:ilvl w:val="0"/>
          <w:numId w:val="25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«ГАСМП “ЭКВИЛИБРИУМ”. Стратегическая концепция», версия 1.0 от 23 августа 2026 года;</w:t>
      </w:r>
    </w:p>
    <w:p>
      <w:pPr>
        <w:numPr>
          <w:ilvl w:val="0"/>
          <w:numId w:val="25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«Единые унифицированные технологии», версия 1.0 от 23 августа 2026 года;</w:t>
      </w:r>
    </w:p>
    <w:p>
      <w:pPr>
        <w:numPr>
          <w:ilvl w:val="0"/>
          <w:numId w:val="25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«ЭКВИЛИБРИУМ. Операционная система 1.0», стратегический концепт, 2026 год;</w:t>
      </w:r>
    </w:p>
    <w:p>
      <w:pPr>
        <w:numPr>
          <w:ilvl w:val="0"/>
          <w:numId w:val="25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«Ядерная математика и архитектура ЭКВИЛИБРИУМ», концептуальная версия 1.0 от 24 августа 2026 года;</w:t>
      </w:r>
    </w:p>
    <w:p>
      <w:pPr>
        <w:numPr>
          <w:ilvl w:val="0"/>
          <w:numId w:val="25"/>
        </w:numPr>
        <w:widowControl w:val="1"/>
      </w:pP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«Мы на Госсовете», стратегическая записка для государственного рассмотрения, август 2026 года.</w:t>
      </w:r>
    </w:p>
    <w:p>
      <w:pPr>
        <w:spacing w:before="120" w:after="160" w:line="269" w:lineRule="auto"/>
        <w:ind w:left="173" w:right="72"/>
        <w:shd w:fill="FFF4D6"/>
        <w:pBdr>
          <w:left w:val="single" w:sz="18" w:space="8" w:color="9A6D00"/>
        </w:pBdr>
        <w:widowControl w:val="1"/>
      </w:pPr>
      <w:r>
        <w:rPr>
          <w:rFonts w:ascii="Arial" w:hAnsi="Arial" w:eastAsia="Arial"/>
          <w:b/>
          <w:i w:val="0"/>
          <w:color w:val="9A6D00"/>
          <w:sz w:val="18"/>
          <w:lang w:val="ru-RU"/>
        </w:rPr>
        <w:t xml:space="preserve">СТАТУС ВНУТРЕННИХ МАТЕРИАЛОВ  </w:t>
      </w:r>
      <w:r>
        <w:rPr>
          <w:rFonts w:ascii="Arial" w:hAnsi="Arial" w:eastAsia="Arial"/>
          <w:b w:val="0"/>
          <w:i w:val="0"/>
          <w:color w:val="172B3A"/>
          <w:sz w:val="21"/>
          <w:lang w:val="ru-RU"/>
        </w:rPr>
        <w:t>Материалы являются авторскими концептуальными разработками. Финансовые инструменты, активы, права, технологии, показатели, партнёрские роли и организационные модели требуют отдельной юридической, научной, технической, финансовой и информационно-безопасностной верификации.</w:t>
      </w:r>
    </w:p>
    <w:p>
      <w:pPr>
        <w:pStyle w:val="Heading1"/>
        <w:widowControl w:val="1"/>
      </w:pPr>
      <w:r>
        <w:rPr>
          <w:lang w:val="ru-RU"/>
        </w:rPr>
        <w:t>3. Авторская отметка</w:t>
      </w:r>
    </w:p>
    <w:p>
      <w:pPr>
        <w:spacing w:before="0" w:after="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Автор и инициатор: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Соколов Сергей Леонидович / SOKOL EQUILIBRIS.</w:t>
      </w:r>
    </w:p>
    <w:p>
      <w:pPr>
        <w:spacing w:before="0" w:after="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Система: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ЭКВИЛИБРИУМ — СФЕРА — ECO-PPA — СПЕЦЗАЩИТА.</w:t>
      </w:r>
    </w:p>
    <w:p>
      <w:pPr>
        <w:spacing w:before="0" w:after="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Редакция: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1.0 от 26 августа 2026 года.</w:t>
      </w:r>
    </w:p>
    <w:p>
      <w:pPr>
        <w:spacing w:before="0" w:after="60"/>
        <w:widowControl w:val="1"/>
      </w:pPr>
      <w:r>
        <w:rPr>
          <w:rFonts w:ascii="Arial" w:hAnsi="Arial" w:eastAsia="Arial"/>
          <w:b/>
          <w:i w:val="0"/>
          <w:color w:val="172B3A"/>
          <w:sz w:val="22"/>
          <w:lang w:val="ru-RU"/>
        </w:rPr>
        <w:t xml:space="preserve">Назначение: </w:t>
      </w:r>
      <w:r>
        <w:rPr>
          <w:rFonts w:ascii="Arial" w:hAnsi="Arial" w:eastAsia="Arial"/>
          <w:b w:val="0"/>
          <w:i w:val="0"/>
          <w:color w:val="000000"/>
          <w:sz w:val="22"/>
          <w:lang w:val="ru-RU"/>
        </w:rPr>
        <w:t>предварительное экспертное рассмотрение; открытый концептуальный материал.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7848" w:val="left"/>
      </w:tabs>
      <w:spacing w:before="0" w:after="0"/>
    </w:pPr>
    <w:r>
      <w:rPr>
        <w:rFonts w:ascii="Arial" w:hAnsi="Arial" w:eastAsia="Arial"/>
        <w:b w:val="0"/>
        <w:i w:val="0"/>
        <w:color w:val="5F6B76"/>
        <w:sz w:val="16"/>
      </w:rPr>
      <w:t>С. Л. Соколов | ЭКВИЛИБРИУМ | 26.08.2026</w:t>
    </w:r>
    <w:r>
      <w:rPr>
        <w:rFonts w:ascii="Arial" w:hAnsi="Arial" w:eastAsia="Arial"/>
        <w:b w:val="0"/>
        <w:i w:val="0"/>
        <w:color w:val="5F6B76"/>
        <w:sz w:val="16"/>
      </w:rPr>
      <w:tab/>
      <w:t xml:space="preserve">Стр. </w:t>
    </w:r>
    <w:r>
      <w:rPr>
        <w:rFonts w:ascii="Arial" w:hAnsi="Arial" w:eastAsia="Arial"/>
        <w:b w:val="0"/>
        <w:i w:val="0"/>
        <w:color w:val="5F6B76"/>
        <w:sz w:val="16"/>
      </w:rPr>
      <w:fldChar w:fldCharType="begin"/>
      <w:instrText xml:space="preserve">PAGE</w:instrText>
      <w:fldChar w:fldCharType="separate"/>
      <w:t>1</w:t>
      <w:fldChar w:fldCharType="end"/>
    </w:r>
    <w:r>
      <w:rPr>
        <w:rFonts w:ascii="Arial" w:hAnsi="Arial" w:eastAsia="Arial"/>
        <w:b w:val="0"/>
        <w:i w:val="0"/>
        <w:color w:val="5F6B76"/>
        <w:sz w:val="16"/>
      </w:rPr>
      <w:t xml:space="preserve"> из </w:t>
    </w:r>
    <w:r>
      <w:rPr>
        <w:rFonts w:ascii="Arial" w:hAnsi="Arial" w:eastAsia="Arial"/>
        <w:b w:val="0"/>
        <w:i w:val="0"/>
        <w:color w:val="5F6B76"/>
        <w:sz w:val="16"/>
      </w:rPr>
      <w:fldChar w:fldCharType="begin"/>
      <w:instrText xml:space="preserve">NUMPAGES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360" w:val="left"/>
      </w:tabs>
      <w:spacing w:after="0"/>
    </w:pPr>
    <w:r>
      <w:rPr>
        <w:rFonts w:ascii="Arial" w:hAnsi="Arial" w:eastAsia="Arial"/>
        <w:b/>
        <w:i w:val="0"/>
        <w:color w:val="5F6B76"/>
        <w:sz w:val="17"/>
      </w:rPr>
      <w:t>ДОКТРИНА ПОБЕДЫ</w:t>
    </w:r>
    <w:r>
      <w:rPr>
        <w:rFonts w:ascii="Arial" w:hAnsi="Arial" w:eastAsia="Arial"/>
        <w:b w:val="0"/>
        <w:i w:val="0"/>
        <w:color w:val="5F6B76"/>
        <w:sz w:val="17"/>
      </w:rPr>
      <w:tab/>
      <w:t>МАТЕРИАЛЫ ДЛЯ ЭКСПЕРТНОГО РАССМОТРЕНИЯ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suff w:val="tab"/>
      <w:pPr>
        <w:tabs>
          <w:tab w:val="num" w:pos="720"/>
        </w:tabs>
        <w:ind w:left="720" w:hanging="360"/>
        <w:spacing w:after="160" w:line="280" w:lineRule="auto"/>
      </w:pPr>
      <w:rPr>
        <w:rFonts w:ascii="Arial" w:hAnsi="Arial"/>
      </w:rPr>
    </w:lvl>
  </w:abstractNum>
  <w:abstractNum w:abstractNumId="10">
    <w:multiLevelType w:val="singleLevel"/>
    <w:lvl w:ilvl="0">
      <w:start w:val="1"/>
      <w:numFmt w:val="decimal"/>
      <w:lvlText w:val="%1."/>
      <w:suff w:val="tab"/>
      <w:pPr>
        <w:tabs>
          <w:tab w:val="num" w:pos="720"/>
        </w:tabs>
        <w:ind w:left="720" w:hanging="360"/>
        <w:spacing w:after="160" w:line="280" w:lineRule="auto"/>
      </w:pPr>
      <w:rPr>
        <w:rFonts w:ascii="Arial" w:hAnsi="Arial"/>
      </w:rPr>
    </w:lvl>
  </w:abstractNum>
  <w:num w:numId="10">
    <w:abstractNumId w:val="9"/>
    <w:lvlOverride w:ilvl="0">
      <w:startOverride w:val="1"/>
    </w:lvlOverride>
  </w:num>
  <w:num w:numId="11">
    <w:abstractNumId w:val="10"/>
    <w:lvlOverride w:ilvl="0">
      <w:startOverride w:val="1"/>
    </w:lvlOverride>
  </w:num>
  <w:num w:numId="12">
    <w:abstractNumId w:val="9"/>
    <w:lvlOverride w:ilvl="0">
      <w:startOverride w:val="1"/>
    </w:lvlOverride>
  </w:num>
  <w:num w:numId="13">
    <w:abstractNumId w:val="9"/>
    <w:lvlOverride w:ilvl="0">
      <w:startOverride w:val="1"/>
    </w:lvlOverride>
  </w:num>
  <w:num w:numId="14">
    <w:abstractNumId w:val="10"/>
    <w:lvlOverride w:ilvl="0">
      <w:startOverride w:val="1"/>
    </w:lvlOverride>
  </w:num>
  <w:num w:numId="15">
    <w:abstractNumId w:val="9"/>
    <w:lvlOverride w:ilvl="0">
      <w:startOverride w:val="1"/>
    </w:lvlOverride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10"/>
    <w:lvlOverride w:ilvl="0">
      <w:startOverride w:val="1"/>
    </w:lvlOverride>
  </w:num>
  <w:num w:numId="20">
    <w:abstractNumId w:val="9"/>
    <w:lvlOverride w:ilvl="0">
      <w:startOverride w:val="1"/>
    </w:lvlOverride>
  </w:num>
  <w:num w:numId="21">
    <w:abstractNumId w:val="10"/>
    <w:lvlOverride w:ilvl="0">
      <w:startOverride w:val="1"/>
    </w:lvlOverride>
  </w:num>
  <w:num w:numId="22">
    <w:abstractNumId w:val="10"/>
    <w:lvlOverride w:ilvl="0">
      <w:startOverride w:val="1"/>
    </w:lvlOverride>
  </w:num>
  <w:num w:numId="23">
    <w:abstractNumId w:val="10"/>
    <w:lvlOverride w:ilvl="0">
      <w:startOverride w:val="1"/>
    </w:lvlOverride>
  </w:num>
  <w:num w:numId="24">
    <w:abstractNumId w:val="9"/>
    <w:lvlOverride w:ilvl="0">
      <w:startOverride w:val="1"/>
    </w:lvlOverride>
  </w:num>
  <w:num w:numId="25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  <w:jc w:val="left"/>
    </w:pPr>
    <w:rPr>
      <w:rFonts w:ascii="Arial" w:hAnsi="Arial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2E5B88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E5B88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17365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ourceNote">
    <w:name w:val="Source Note"/>
    <w:pPr>
      <w:spacing w:before="80" w:after="80" w:line="252" w:lineRule="auto"/>
    </w:pPr>
    <w:rPr>
      <w:rFonts w:ascii="Arial" w:hAnsi="Arial"/>
      <w:color w:val="5F6B76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kremlin.ru/acts/bank/50555" TargetMode="External"/><Relationship Id="rId12" Type="http://schemas.openxmlformats.org/officeDocument/2006/relationships/hyperlink" Target="https://special.kremlin.ru/acts/bank/32417" TargetMode="External"/><Relationship Id="rId13" Type="http://schemas.openxmlformats.org/officeDocument/2006/relationships/hyperlink" Target="https://www.kremlin.ru/acts/bank/47046" TargetMode="External"/><Relationship Id="rId14" Type="http://schemas.openxmlformats.org/officeDocument/2006/relationships/hyperlink" Target="https://www.kremlin.ru/acts/bank/38630" TargetMode="External"/><Relationship Id="rId15" Type="http://schemas.openxmlformats.org/officeDocument/2006/relationships/hyperlink" Target="https://www.kremlin.ru/acts/bank/47244" TargetMode="External"/><Relationship Id="rId16" Type="http://schemas.openxmlformats.org/officeDocument/2006/relationships/hyperlink" Target="https://www.kremlin.ru/acts/bank/50358" TargetMode="External"/><Relationship Id="rId17" Type="http://schemas.openxmlformats.org/officeDocument/2006/relationships/hyperlink" Target="https://publication.pravo.gov.ru/document/0001202405070015" TargetMode="External"/><Relationship Id="rId18" Type="http://schemas.openxmlformats.org/officeDocument/2006/relationships/hyperlink" Target="https://www.kremlin.ru/events/president/news/74030" TargetMode="External"/><Relationship Id="rId19" Type="http://schemas.openxmlformats.org/officeDocument/2006/relationships/hyperlink" Target="https://www.kremlin.ru/events/president/news/804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Письмо А. Р. Белоусову. Доктрина Победы и стратегические балансы</dc:title>
  <dc:subject>Проект концептуального документа и приложения для предварительного экспертного рассмотрения</dc:subject>
  <dc:creator>Соколов Сергей Леонидович / SOKOL EQUILIBRIS</dc:creator>
  <cp:keywords>Доктрина Победы, ЭКВИЛИБРИУМ, стратегические балансы, безопасность, технологический суверенитет</cp:keywords>
  <dc:description>Версия 1.0 от 26 августа 2026 года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