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  <w:spacing w:after="260"/>
        <w:jc w:val="center"/>
      </w:pPr>
      <w:r>
        <w:t>СТРАТЕГИЧЕСКИЙ БЕЛЫЙ ДОКУМЕНТ  /  РЕДАКЦИЯ 1.0</w:t>
      </w:r>
    </w:p>
    <w:p>
      <w:pPr>
        <w:pStyle w:val="Title"/>
        <w:spacing w:after="160"/>
        <w:jc w:val="center"/>
      </w:pPr>
      <w:r>
        <w:t>ДИНАМИЧЕСКАЯ МОДЕЛЬ БИОСФЕРЫ</w:t>
        <w:br/>
        <w:t>И НОВАЯ МИРОВАЯ</w:t>
        <w:br/>
        <w:t>ФИНАНСОВАЯ СИСТЕМА</w:t>
      </w:r>
    </w:p>
    <w:p>
      <w:pPr>
        <w:pStyle w:val="Subtitle"/>
        <w:spacing w:after="120"/>
        <w:jc w:val="center"/>
      </w:pPr>
      <w:r>
        <w:t>Доказательный контур восстановления: данные → решение → договор → исполнение → результат → Архив наследия</w:t>
      </w:r>
    </w:p>
    <w:p>
      <w:pPr>
        <w:pStyle w:val="Eyebrow"/>
        <w:jc w:val="center"/>
      </w:pPr>
      <w:r>
        <w:t>ЭКВИЛИБРИУМ  ·  СФЕРА  ·  ECO-PPA  ·  СПЕЦЗАЩИТА  ·  АРХИВ НАСЛЕДИЯ</w:t>
      </w:r>
    </w:p>
    <w:p>
      <w:pPr>
        <w:spacing w:before="60" w:after="100"/>
        <w:jc w:val="center"/>
      </w:pPr>
      <w:r>
        <w:drawing>
          <wp:inline xmlns:a="http://schemas.openxmlformats.org/drawingml/2006/main" xmlns:pic="http://schemas.openxmlformats.org/drawingml/2006/picture">
            <wp:extent cx="4297680" cy="2418730"/>
            <wp:docPr id="1" name="Picture 1" descr="Цифровой двойник биосферы, экологические слои, доказательный финансовый контур и архивная память." title="Динамическая модель биосферы и Архив наслед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ef689480-7c8e-4e1e-a666-2b8388862b24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4187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"/>
        <w:jc w:val="center"/>
      </w:pPr>
      <w:r>
        <w:t>Автор: Соколов Сергей Леонидович  ·  29 августа 2026 г.</w:t>
        <w:br/>
      </w:r>
      <w:r>
        <w:t>Пилотный контур: Сызрань — Рамено — Смолькино</w:t>
        <w:br/>
      </w:r>
      <w:r>
        <w:t>Статус: авторская проектная гипотеза для экспертного обсуждения</w:t>
      </w:r>
    </w:p>
    <w:p>
      <w:r>
        <w:br w:type="page"/>
      </w:r>
    </w:p>
    <w:p>
      <w:pPr>
        <w:pStyle w:val="Eyebrow"/>
        <w:keepLines/>
        <w:widowControl/>
        <w:keepNext/>
      </w:pPr>
      <w:r>
        <w:t>02  /  РЕЗЮМЕ ДЛЯ ПРИНИМАЮЩЕГО РЕШЕНИЕ</w:t>
      </w:r>
    </w:p>
    <w:p>
      <w:pPr>
        <w:pStyle w:val="Heading1"/>
        <w:keepLines/>
        <w:widowControl/>
        <w:keepNext/>
      </w:pPr>
      <w:r>
        <w:t>Одно решение: разрешить 90-дневную апробацию</w:t>
      </w:r>
    </w:p>
    <w:p>
      <w:pPr>
        <w:pStyle w:val="Lead"/>
        <w:spacing w:after="240"/>
      </w:pPr>
      <w:r>
        <w:t>Проверить связность научного, проектного, договорного, финансового и архивного контуров в режиме без движения денег.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Главный тезис</w:t>
        <w:br/>
      </w:r>
      <w:r>
        <w:rPr>
          <w:rFonts w:ascii="Calibri" w:hAnsi="Calibri" w:eastAsia="Calibri"/>
          <w:color w:val="172033"/>
          <w:sz w:val="21"/>
        </w:rPr>
        <w:t>Деньги должны следовать не за декларацией, а за договорно закреплённой, измеримой и воспроизводимо доказанной динамикой биосферы; знания, основания решений и результаты каждого цикла сохраняются как наследие.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7310"/>
      </w:tblGrid>
      <w:tr>
        <w:trPr>
          <w:tblHeader w:val="true"/>
        </w:trPr>
        <w:tc>
          <w:tcPr>
            <w:tcW w:type="dxa" w:w="20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Параметр</w:t>
            </w:r>
          </w:p>
        </w:tc>
        <w:tc>
          <w:tcPr>
            <w:tcW w:type="dxa" w:w="73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Предложение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7"/>
              </w:rPr>
              <w:t>Срок первого этапа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7"/>
              </w:rPr>
              <w:t>90 календарных дней.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7"/>
              </w:rPr>
              <w:t>Территории</w:t>
            </w:r>
          </w:p>
        </w:tc>
        <w:tc>
          <w:tcPr>
            <w:tcW w:type="dxa" w:w="73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7"/>
              </w:rPr>
              <w:t>Сызрань — Рамено — Смолькино; функции участков определяются только после обследования.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7"/>
              </w:rPr>
              <w:t>Режим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7"/>
              </w:rPr>
              <w:t>Shadow mode: система рассчитывает сценарии и проектные шлюзы, но не инициирует платежи.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7"/>
              </w:rPr>
              <w:t>Выход</w:t>
            </w:r>
          </w:p>
        </w:tc>
        <w:tc>
          <w:tcPr>
            <w:tcW w:type="dxa" w:w="73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7"/>
              </w:rPr>
              <w:t>Исходная линия, модель 0.1, паспорт ECO-PPA, правовая карта, доказательный пакет, тестовый архивный пакет, независимое заключение.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7"/>
              </w:rPr>
              <w:t>Следующий шаг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7"/>
              </w:rPr>
              <w:t>Отдельное решение о 12-месячном полевом пилоте: GO / условный GO / NO-GO.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Ожидаемый результат</w:t>
        <w:br/>
      </w:r>
      <w:r>
        <w:rPr>
          <w:rFonts w:ascii="Calibri" w:hAnsi="Calibri" w:eastAsia="Calibri"/>
          <w:color w:val="172033"/>
          <w:sz w:val="21"/>
        </w:rPr>
        <w:t>Не презентация «идеальной системы», а доказательство того, какие части работоспособны, где остаются пробелы и при каких условиях допустим ограниченный пилот.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03  /  ОПРЕДЕЛЕНИЯ И ГРАНИЦЫ</w:t>
      </w:r>
    </w:p>
    <w:p>
      <w:pPr>
        <w:pStyle w:val="Heading1"/>
        <w:keepLines/>
        <w:widowControl/>
        <w:keepNext/>
      </w:pPr>
      <w:r>
        <w:t>Новизна — в связанности, а не в выпуске денег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Динамическая модель биосферы. </w:t>
      </w:r>
      <w:r>
        <w:t>информационно-аналитический слой наблюдений, связей, сценариев, прогнозов и неопределённости; система поддержки решений, а не источник юридически обязательного решения.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Новая Мировая финансовая система. </w:t>
      </w:r>
      <w:r>
        <w:t>рабочее название международно совместимого проектно-доказательного слоя поверх действующих валют, счетов, договоров, банков, казначейств и институтов развития.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Архив наследия. </w:t>
      </w:r>
      <w:r>
        <w:t>распределённый слой долговременной памяти, происхождения данных, прав, версий, решений, доказательств и академического повторного использования; оригиналы остаются у законных хранителей.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Ключевая граница</w:t>
        <w:br/>
      </w:r>
      <w:r>
        <w:rPr>
          <w:rFonts w:ascii="Calibri" w:hAnsi="Calibri" w:eastAsia="Calibri"/>
          <w:color w:val="172033"/>
          <w:sz w:val="21"/>
        </w:rPr>
        <w:t>Модель рекомендует. Уполномоченный субъект принимает решение. Банк, казначейство или сторона договора исполняет законное распоряжение. Независимый валидатор проверяет результат. Архив сохраняет доказательную цепочку.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Предлагаемая архитектура не заменяет национальные деньги, центральные банки, банковскую систему, бюджетное, налоговое, статистическое или бухгалтерское регулирование.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Система не выпускает законное платёжное средство и не создаёт права на автоматическое получение финансирования.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Материалы не содержат обещаний доходности, гарантии возврата капитала или заявления об отсутствии рисков.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Экологический результат не приравнивается к денежной стоимости без отдельной законной методики, независимой оценки и договорного основания.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Архитектура не объявляется мировым, национальным или отраслевым стандартом. На первом этапе это проверяемая проектная гипотеза и предмет ограниченной апробации.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04  /  ПОЧЕМУ СЕЙЧАС</w:t>
      </w:r>
    </w:p>
    <w:p>
      <w:pPr>
        <w:pStyle w:val="Heading1"/>
        <w:keepLines/>
        <w:widowControl/>
        <w:keepNext/>
      </w:pPr>
      <w:r>
        <w:t>Риск становится системным, а данные — всё более распределёнными</w:t>
      </w:r>
    </w:p>
    <w:p>
      <w:pPr>
        <w:pStyle w:val="Lead"/>
        <w:spacing w:after="240"/>
      </w:pPr>
      <w:r>
        <w:t>Факты задают масштаб задачи, но не доказывают эффективность предлагаемой архитектуры до апробации.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4160"/>
        <w:gridCol w:w="2200"/>
      </w:tblGrid>
      <w:tr>
        <w:trPr>
          <w:tblHeader w:val="true"/>
        </w:trPr>
        <w:tc>
          <w:tcPr>
            <w:tcW w:type="dxa" w:w="30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Наблюдение</w:t>
            </w:r>
          </w:p>
        </w:tc>
        <w:tc>
          <w:tcPr>
            <w:tcW w:type="dxa" w:w="4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Значение для конструкции</w:t>
            </w:r>
          </w:p>
        </w:tc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Официальный источник</w:t>
            </w:r>
          </w:p>
        </w:tc>
      </w:tr>
      <w:tr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2025 г.: около +1,43 °C к 1850–1900 гг.; 2015–2025 — одиннадцать самых тёплых лет.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Нужны длинные ряды, версии моделей и работа с неопределённостью.</w:t>
            </w:r>
          </w:p>
        </w:tc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WMO, 2026</w:t>
            </w:r>
          </w:p>
        </w:tc>
      </w:tr>
      <w:tr>
        <w:tc>
          <w:tcPr>
            <w:tcW w:type="dxa" w:w="30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119 стран, около 60%, сообщили о многоопасностных системах раннего предупреждения.</w:t>
            </w:r>
          </w:p>
        </w:tc>
        <w:tc>
          <w:tcPr>
            <w:tcW w:type="dxa" w:w="4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Предупреждение должно завершаться готовностью, действием и проверкой результата.</w:t>
            </w:r>
          </w:p>
        </w:tc>
        <w:tc>
          <w:tcPr>
            <w:tcW w:type="dxa" w:w="2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WMO, 2025</w:t>
            </w:r>
          </w:p>
        </w:tc>
      </w:tr>
      <w:tr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Target 19: глобальная цель мобилизовать не менее 200 млрд долл. США в год к 2030 г. из всех источников.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Это системный ориентир, а не обещание средств конкретному проекту.</w:t>
            </w:r>
          </w:p>
        </w:tc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CBD</w:t>
            </w:r>
          </w:p>
        </w:tc>
      </w:tr>
      <w:tr>
        <w:tc>
          <w:tcPr>
            <w:tcW w:type="dxa" w:w="30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Природные риски рассматриваются как кредитные, рыночные и операционные; сохраняются пробелы данных и методик.</w:t>
            </w:r>
          </w:p>
        </w:tc>
        <w:tc>
          <w:tcPr>
            <w:tcW w:type="dxa" w:w="4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Нужны ограниченные KPI, происхождение данных и независимая проверка.</w:t>
            </w:r>
          </w:p>
        </w:tc>
        <w:tc>
          <w:tcPr>
            <w:tcW w:type="dxa" w:w="2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NGFS, 2026</w:t>
            </w:r>
          </w:p>
        </w:tc>
      </w:tr>
    </w:tbl>
    <w:p>
      <w:pPr>
        <w:spacing w:after="20"/>
      </w:pPr>
    </w:p>
    <w:p>
      <w:pPr>
        <w:pStyle w:val="Source"/>
        <w:spacing w:before="80"/>
      </w:pPr>
      <w:r>
        <w:t>Источники: WMO State of the Global Climate 2025; WMO Global Status of MHEWS 2025; CBD Target 19; NGFS 2026 Nature Package.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6DCBF4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Вывод</w:t>
        <w:br/>
      </w:r>
      <w:r>
        <w:rPr>
          <w:rFonts w:ascii="Calibri" w:hAnsi="Calibri" w:eastAsia="Calibri"/>
          <w:color w:val="172033"/>
          <w:sz w:val="21"/>
        </w:rPr>
        <w:t>Нет дефицита отдельных платформ и показателей. Дефицит — в совместимом цикле «наблюдение → решение → договор → действие → проверка → память».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05  /  ПРИНЦИПЫ</w:t>
      </w:r>
    </w:p>
    <w:p>
      <w:pPr>
        <w:pStyle w:val="Heading1"/>
        <w:keepLines/>
        <w:widowControl/>
        <w:keepNext/>
      </w:pPr>
      <w:r>
        <w:t>Семь принципов удерживают систему в правовом и научном поле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1. Суверенитет. </w:t>
      </w:r>
      <w:r>
        <w:t>национальные полномочия, деньги, реестры и правовые режимы сохраняются.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2. Разделение ролей. </w:t>
      </w:r>
      <w:r>
        <w:t>исполнитель не утверждает собственный результат единолично.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3. Происхождение. </w:t>
      </w:r>
      <w:r>
        <w:t>каждое утверждение связано с источником, методом, временем, правами и версией.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4. Несмешиваемые показатели. </w:t>
      </w:r>
      <w:r>
        <w:t>вода, почва, биота, здоровье и деньги связаны идентификатором, но не сводятся автоматически к одному индексу.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5. Воспроизводимость. </w:t>
      </w:r>
      <w:r>
        <w:t>вывод можно восстановить из исходных данных, преобразований и версии модели.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6. Человек принимает решение. </w:t>
      </w:r>
      <w:r>
        <w:t>ИИ и модель формируют предложение, но не санкционируют платеж, научную атрибуцию или ограничение прав.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7. Обучение на результате. </w:t>
      </w:r>
      <w:r>
        <w:t>положительные, отрицательные и нулевые эффекты сохраняются и влияют на следующий цикл.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Системный девиз</w:t>
        <w:br/>
      </w:r>
      <w:r>
        <w:rPr>
          <w:rFonts w:ascii="Calibri" w:hAnsi="Calibri" w:eastAsia="Calibri"/>
          <w:color w:val="172033"/>
          <w:sz w:val="21"/>
        </w:rPr>
        <w:t>Суверенитет сохраняется. Доказательства становятся совместимыми. Действия — согласованными.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06  /  АРХИТЕКТУРА</w:t>
      </w:r>
    </w:p>
    <w:p>
      <w:pPr>
        <w:pStyle w:val="Heading1"/>
        <w:keepLines/>
        <w:widowControl/>
        <w:keepNext/>
      </w:pPr>
      <w:r>
        <w:t>Пять контуров образуют замкнутый цикл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4120"/>
        <w:gridCol w:w="3690"/>
      </w:tblGrid>
      <w:tr>
        <w:trPr>
          <w:tblHeader w:val="true"/>
        </w:trPr>
        <w:tc>
          <w:tcPr>
            <w:tcW w:type="dxa" w:w="1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Контур</w:t>
            </w:r>
          </w:p>
        </w:tc>
        <w:tc>
          <w:tcPr>
            <w:tcW w:type="dxa" w:w="41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Функция</w:t>
            </w:r>
          </w:p>
        </w:tc>
        <w:tc>
          <w:tcPr>
            <w:tcW w:type="dxa" w:w="369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Жёсткая граница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ЭКВИЛИБРИУМ</w:t>
            </w:r>
          </w:p>
        </w:tc>
        <w:tc>
          <w:tcPr>
            <w:tcW w:type="dxa" w:w="41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Наблюдение, распознавание, анализ, сценарии, прогноз, оценка неопределённости.</w:t>
            </w:r>
          </w:p>
        </w:tc>
        <w:tc>
          <w:tcPr>
            <w:tcW w:type="dxa" w:w="36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распоряжается деньгами и не превращает прогноз в обязательное решение.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СФЕРА</w:t>
            </w:r>
          </w:p>
        </w:tc>
        <w:tc>
          <w:tcPr>
            <w:tcW w:type="dxa" w:w="41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Инициативы, участники, знания, обратная связь и масштабирование проверенного.</w:t>
            </w:r>
          </w:p>
        </w:tc>
        <w:tc>
          <w:tcPr>
            <w:tcW w:type="dxa" w:w="36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банк, не регулятор и не генеральный исполнитель.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ECO-PPA</w:t>
            </w:r>
          </w:p>
        </w:tc>
        <w:tc>
          <w:tcPr>
            <w:tcW w:type="dxa" w:w="41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Паспорт задачи, технологии, кооперации, капитала, контракта, данных и результата.</w:t>
            </w:r>
          </w:p>
        </w:tc>
        <w:tc>
          <w:tcPr>
            <w:tcW w:type="dxa" w:w="36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Проектно-ресурсная и договорная рамка; не исполнитель.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СПЕЦЗАЩИТА</w:t>
            </w:r>
          </w:p>
        </w:tc>
        <w:tc>
          <w:tcPr>
            <w:tcW w:type="dxa" w:w="41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Кооперационная сборка исполнения, пилоты, логистика и масштабирование.</w:t>
            </w:r>
          </w:p>
        </w:tc>
        <w:tc>
          <w:tcPr>
            <w:tcW w:type="dxa" w:w="36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валидирует собственный результат единолично.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Архив наследия</w:t>
            </w:r>
          </w:p>
        </w:tc>
        <w:tc>
          <w:tcPr>
            <w:tcW w:type="dxa" w:w="41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Память, происхождение, версии, права, доказательства, академическая интеграция.</w:t>
            </w:r>
          </w:p>
        </w:tc>
        <w:tc>
          <w:tcPr>
            <w:tcW w:type="dxa" w:w="36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подменяет экспертизу, государственные архивы и владельцев записей.</w:t>
            </w:r>
          </w:p>
        </w:tc>
      </w:tr>
    </w:tbl>
    <w:p>
      <w:pPr>
        <w:spacing w:after="20"/>
      </w:pP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НАБЛЮДЕНИЕ → ПРОГНОЗ → РЕШЕНИЕ → ECO-PPA → ДОГОВОР → ИСПОЛНЕНИЕ → ВЕРИФИКАЦИЯ → АРХИВ → МАСШТАБИРОВАНИЕ → НОВЫЙ ЦИКЛ</w:t>
      </w: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Инвариант</w:t>
        <w:br/>
      </w:r>
      <w:r>
        <w:rPr>
          <w:rFonts w:ascii="Calibri" w:hAnsi="Calibri" w:eastAsia="Calibri"/>
          <w:color w:val="172033"/>
          <w:sz w:val="21"/>
        </w:rPr>
        <w:t>Архив наследия расположен после проверки и одновременно обслуживает весь цикл: baseline, права и исторические ряды должны быть доступны до решения, а итоговый пакет — после результата.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07  /  ОБЪЕКТ ДИНАМИЧЕСКОЙ МОДЕЛИ</w:t>
      </w:r>
    </w:p>
    <w:p>
      <w:pPr>
        <w:pStyle w:val="Heading1"/>
        <w:keepLines/>
        <w:widowControl/>
        <w:keepNext/>
      </w:pPr>
      <w:r>
        <w:t>Биоценоз рассматривается как природная, социальная, инфраструктурная и производственная система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xₜ = [Aₜ, Wₜ, Sₜ, Bₜ, Hₜ, Lₜ]ᵀ</w:t>
      </w:r>
    </w:p>
    <w:p>
      <w:pPr>
        <w:pStyle w:val="Small"/>
        <w:spacing w:after="100"/>
        <w:ind w:left="288"/>
      </w:pPr>
      <w:r>
        <w:t>A — атмосфера; W — вода; S — почва; B — биота; H — воздействие на человека; L — техногенная нагрузка.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3890"/>
        <w:gridCol w:w="3920"/>
      </w:tblGrid>
      <w:tr>
        <w:trPr>
          <w:tblHeader w:val="true"/>
        </w:trPr>
        <w:tc>
          <w:tcPr>
            <w:tcW w:type="dxa" w:w="1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Слой</w:t>
            </w:r>
          </w:p>
        </w:tc>
        <w:tc>
          <w:tcPr>
            <w:tcW w:type="dxa" w:w="389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Что наблюдается</w:t>
            </w:r>
          </w:p>
        </w:tc>
        <w:tc>
          <w:tcPr>
            <w:tcW w:type="dxa" w:w="39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Почему недостаточен один источник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Атмосфера</w:t>
            </w:r>
          </w:p>
        </w:tc>
        <w:tc>
          <w:tcPr>
            <w:tcW w:type="dxa" w:w="38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погода, газы, аэрозоли, загрязнители, пожары и дым</w:t>
            </w:r>
          </w:p>
        </w:tc>
        <w:tc>
          <w:tcPr>
            <w:tcW w:type="dxa" w:w="3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Спутник видит распределение; наземные станции и калибровка уточняют концентрации.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Вода</w:t>
            </w:r>
          </w:p>
        </w:tc>
        <w:tc>
          <w:tcPr>
            <w:tcW w:type="dxa" w:w="38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уровень, расход, сезонность, качество, биогены, токсиканты</w:t>
            </w:r>
          </w:p>
        </w:tc>
        <w:tc>
          <w:tcPr>
            <w:tcW w:type="dxa" w:w="3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Дистанционные признаки дополняются пробами, гидропостами и лабораториями.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Почва</w:t>
            </w:r>
          </w:p>
        </w:tc>
        <w:tc>
          <w:tcPr>
            <w:tcW w:type="dxa" w:w="38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углерод, pH, влажность, эрозия, засоление, уплотнение, загрязнение</w:t>
            </w:r>
          </w:p>
        </w:tc>
        <w:tc>
          <w:tcPr>
            <w:tcW w:type="dxa" w:w="3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Полевой и лабораторный контроль обязателен для процессов под поверхностью.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Биота</w:t>
            </w:r>
          </w:p>
        </w:tc>
        <w:tc>
          <w:tcPr>
            <w:tcW w:type="dxa" w:w="38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состояние экосистем, популяции, связность, инвазии, продуктивность</w:t>
            </w:r>
          </w:p>
        </w:tc>
        <w:tc>
          <w:tcPr>
            <w:tcW w:type="dxa" w:w="3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Число видов не описывает функции, численность и генетическое разнообразие.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Человек</w:t>
            </w:r>
          </w:p>
        </w:tc>
        <w:tc>
          <w:tcPr>
            <w:tcW w:type="dxa" w:w="38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экспозиция, безопасная вода, санитария, продовольствие, уязвимость</w:t>
            </w:r>
          </w:p>
        </w:tc>
        <w:tc>
          <w:tcPr>
            <w:tcW w:type="dxa" w:w="3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Экспозиция не равна доказанной причинности заболевания.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Нагрузка</w:t>
            </w:r>
          </w:p>
        </w:tc>
        <w:tc>
          <w:tcPr>
            <w:tcW w:type="dxa" w:w="38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землепользование, выбросы, водозабор, отходы, аварии, материальные потоки</w:t>
            </w:r>
          </w:p>
        </w:tc>
        <w:tc>
          <w:tcPr>
            <w:tcW w:type="dxa" w:w="3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Административные, производственные и наблюдаемые данные имеют разную полноту.</w:t>
            </w:r>
          </w:p>
        </w:tc>
      </w:tr>
    </w:tbl>
    <w:p>
      <w:pPr>
        <w:spacing w:after="20"/>
      </w:pPr>
    </w:p>
    <w:p>
      <w:pPr>
        <w:pStyle w:val="Source"/>
        <w:spacing w:before="80"/>
      </w:pPr>
      <w:r>
        <w:t>Научная рамка совместима с One Health, системами наблюдений GEO и пространственными экосистемными счетами SEEA EA.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08  /  ПАНЕЛЬ ИНДИКАТОРОВ</w:t>
      </w:r>
    </w:p>
    <w:p>
      <w:pPr>
        <w:pStyle w:val="Heading1"/>
        <w:keepLines/>
        <w:widowControl/>
        <w:keepNext/>
      </w:pPr>
      <w:r>
        <w:t>Каждый показатель получает паспорт, а не только число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50"/>
        <w:gridCol w:w="7010"/>
      </w:tblGrid>
      <w:tr>
        <w:trPr>
          <w:tblHeader w:val="true"/>
        </w:trPr>
        <w:tc>
          <w:tcPr>
            <w:tcW w:type="dxa" w:w="23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Блок паспорта</w:t>
            </w:r>
          </w:p>
        </w:tc>
        <w:tc>
          <w:tcPr>
            <w:tcW w:type="dxa" w:w="70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Минимальное содержание</w:t>
            </w:r>
          </w:p>
        </w:tc>
      </w:tr>
      <w:tr>
        <w:tc>
          <w:tcPr>
            <w:tcW w:type="dxa" w:w="2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Идентификация</w:t>
            </w:r>
          </w:p>
        </w:tc>
        <w:tc>
          <w:tcPr>
            <w:tcW w:type="dxa" w:w="70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код, название, объект, геометрия, период и временной шаг</w:t>
            </w:r>
          </w:p>
        </w:tc>
      </w:tr>
      <w:tr>
        <w:tc>
          <w:tcPr>
            <w:tcW w:type="dxa" w:w="23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Метод</w:t>
            </w:r>
          </w:p>
        </w:tc>
        <w:tc>
          <w:tcPr>
            <w:tcW w:type="dxa" w:w="70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определение, единица, прибор или алгоритм, протокол отбора, калибровка</w:t>
            </w:r>
          </w:p>
        </w:tc>
      </w:tr>
      <w:tr>
        <w:tc>
          <w:tcPr>
            <w:tcW w:type="dxa" w:w="2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Источник</w:t>
            </w:r>
          </w:p>
        </w:tc>
        <w:tc>
          <w:tcPr>
            <w:tcW w:type="dxa" w:w="70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владелец записи, первичный файл, дата получения, лицензия и режим доступа</w:t>
            </w:r>
          </w:p>
        </w:tc>
      </w:tr>
      <w:tr>
        <w:tc>
          <w:tcPr>
            <w:tcW w:type="dxa" w:w="23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Качество</w:t>
            </w:r>
          </w:p>
        </w:tc>
        <w:tc>
          <w:tcPr>
            <w:tcW w:type="dxa" w:w="70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QA/QC, полнота, предел обнаружения, неопределённость, статус пригодности</w:t>
            </w:r>
          </w:p>
        </w:tc>
      </w:tr>
      <w:tr>
        <w:tc>
          <w:tcPr>
            <w:tcW w:type="dxa" w:w="2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Сравнение</w:t>
            </w:r>
          </w:p>
        </w:tc>
        <w:tc>
          <w:tcPr>
            <w:tcW w:type="dxa" w:w="70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baseline, сезонность, тренд, порог предупреждения, контрфактический сценарий</w:t>
            </w:r>
          </w:p>
        </w:tc>
      </w:tr>
      <w:tr>
        <w:tc>
          <w:tcPr>
            <w:tcW w:type="dxa" w:w="23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Ответственность</w:t>
            </w:r>
          </w:p>
        </w:tc>
        <w:tc>
          <w:tcPr>
            <w:tcW w:type="dxa" w:w="70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кто измеряет, проверяет, интерпретирует, принимает решение и оспаривает</w:t>
            </w:r>
          </w:p>
        </w:tc>
      </w:tr>
      <w:tr>
        <w:tc>
          <w:tcPr>
            <w:tcW w:type="dxa" w:w="2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Архив</w:t>
            </w:r>
          </w:p>
        </w:tc>
        <w:tc>
          <w:tcPr>
            <w:tcW w:type="dxa" w:w="70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контрольная сумма, версия, события преобразования и ссылка на архивный объект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Правило панели</w:t>
        <w:br/>
      </w:r>
      <w:r>
        <w:rPr>
          <w:rFonts w:ascii="Calibri" w:hAnsi="Calibri" w:eastAsia="Calibri"/>
          <w:color w:val="172033"/>
          <w:sz w:val="21"/>
        </w:rPr>
        <w:t>Один интегральный «индекс здоровья биосферы» не должен скрывать ухудшение одного контура за улучшением другого. Основой остаётся набор несмешиваемых показателей с явными весами только там, где это законно и методически обосновано.</w:t>
      </w:r>
    </w:p>
    <w:p>
      <w:pPr>
        <w:pStyle w:val="Source"/>
        <w:spacing w:before="80"/>
      </w:pPr>
      <w:r>
        <w:t>Глобальные планетарные границы могут задавать коридор системного риска, но не являются локальными нормативами, ПДК или автоматическими порогами проекта.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09  /  ДИНАМИКА, СЦЕНАРИИ И НЕОПРЕДЕЛЁННОСТЬ</w:t>
      </w:r>
    </w:p>
    <w:p>
      <w:pPr>
        <w:pStyle w:val="Heading1"/>
        <w:keepLines/>
        <w:widowControl/>
        <w:keepNext/>
      </w:pPr>
      <w:r>
        <w:t>Модель отделяет наблюдение, расчёт и прогноз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xₜ₊Δₜ = fθ(xₜ, uₜ, eₜ) + εₜ</w:t>
      </w:r>
    </w:p>
    <w:p>
      <w:pPr>
        <w:pStyle w:val="Small"/>
        <w:spacing w:after="100"/>
        <w:ind w:left="288"/>
      </w:pPr>
      <w:r>
        <w:t>uₜ — управляемое воздействие; eₜ — внешние факторы; εₜ — неопределённость. Функция и параметры имеют версии.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Impactᵢ = xᵒᵇˢᵉʳᵛᵉᵈᵢ,ₜ₁ − xᶜᵒᵘⁿᵗᵉʳᶠᵃᶜᵗᵘᵃˡᵢ,ₜ₁</w:t>
      </w:r>
    </w:p>
    <w:p>
      <w:pPr>
        <w:pStyle w:val="Small"/>
        <w:spacing w:after="100"/>
        <w:ind w:left="288"/>
      </w:pPr>
      <w:r>
        <w:t>Эффект публикуется вместе с baseline, диапазоном неопределённости, допущениями и методом контрфактической оценки.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60"/>
        <w:gridCol w:w="2740"/>
        <w:gridCol w:w="4460"/>
      </w:tblGrid>
      <w:tr>
        <w:trPr>
          <w:tblHeader w:val="true"/>
        </w:trPr>
        <w:tc>
          <w:tcPr>
            <w:tcW w:type="dxa" w:w="2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Класс данных</w:t>
            </w:r>
          </w:p>
        </w:tc>
        <w:tc>
          <w:tcPr>
            <w:tcW w:type="dxa" w:w="27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Статус</w:t>
            </w:r>
          </w:p>
        </w:tc>
        <w:tc>
          <w:tcPr>
            <w:tcW w:type="dxa" w:w="44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Допустимое использование</w:t>
            </w:r>
          </w:p>
        </w:tc>
      </w:tr>
      <w:tr>
        <w:tc>
          <w:tcPr>
            <w:tcW w:type="dxa" w:w="2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Первичное измерение</w:t>
            </w:r>
          </w:p>
        </w:tc>
        <w:tc>
          <w:tcPr>
            <w:tcW w:type="dxa" w:w="27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неизменяемая запись источника</w:t>
            </w:r>
          </w:p>
        </w:tc>
        <w:tc>
          <w:tcPr>
            <w:tcW w:type="dxa" w:w="4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исходная доказательная база</w:t>
            </w:r>
          </w:p>
        </w:tc>
      </w:tr>
      <w:tr>
        <w:tc>
          <w:tcPr>
            <w:tcW w:type="dxa" w:w="2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Очищенные данные</w:t>
            </w:r>
          </w:p>
        </w:tc>
        <w:tc>
          <w:tcPr>
            <w:tcW w:type="dxa" w:w="27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версия с журналом преобразований</w:t>
            </w:r>
          </w:p>
        </w:tc>
        <w:tc>
          <w:tcPr>
            <w:tcW w:type="dxa" w:w="4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анализ при сохранённой связи с первичным источником</w:t>
            </w:r>
          </w:p>
        </w:tc>
      </w:tr>
      <w:tr>
        <w:tc>
          <w:tcPr>
            <w:tcW w:type="dxa" w:w="2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Расчётный показатель</w:t>
            </w:r>
          </w:p>
        </w:tc>
        <w:tc>
          <w:tcPr>
            <w:tcW w:type="dxa" w:w="27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результат утверждённой формулы</w:t>
            </w:r>
          </w:p>
        </w:tc>
        <w:tc>
          <w:tcPr>
            <w:tcW w:type="dxa" w:w="4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сравнение и контроль при известной методике</w:t>
            </w:r>
          </w:p>
        </w:tc>
      </w:tr>
      <w:tr>
        <w:tc>
          <w:tcPr>
            <w:tcW w:type="dxa" w:w="2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Прогноз / сценарий</w:t>
            </w:r>
          </w:p>
        </w:tc>
        <w:tc>
          <w:tcPr>
            <w:tcW w:type="dxa" w:w="27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вероятностное утверждение</w:t>
            </w:r>
          </w:p>
        </w:tc>
        <w:tc>
          <w:tcPr>
            <w:tcW w:type="dxa" w:w="4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поддержка решения, но не подтверждённый факт</w:t>
            </w:r>
          </w:p>
        </w:tc>
      </w:tr>
      <w:tr>
        <w:tc>
          <w:tcPr>
            <w:tcW w:type="dxa" w:w="2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Решение</w:t>
            </w:r>
          </w:p>
        </w:tc>
        <w:tc>
          <w:tcPr>
            <w:tcW w:type="dxa" w:w="27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акт уполномоченного субъекта</w:t>
            </w:r>
          </w:p>
        </w:tc>
        <w:tc>
          <w:tcPr>
            <w:tcW w:type="dxa" w:w="4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запуск, изменение, остановка или оплата по договору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Запрет</w:t>
        <w:br/>
      </w:r>
      <w:r>
        <w:rPr>
          <w:rFonts w:ascii="Calibri" w:hAnsi="Calibri" w:eastAsia="Calibri"/>
          <w:color w:val="172033"/>
          <w:sz w:val="21"/>
        </w:rPr>
        <w:t>Корреляция не доказывает причинность. Сигнал модели или датчика не создаёт право на автоматический платёж.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10  /  ПАСПОРТ ECO-PPA</w:t>
      </w:r>
    </w:p>
    <w:p>
      <w:pPr>
        <w:pStyle w:val="Heading1"/>
        <w:keepLines/>
        <w:widowControl/>
        <w:keepNext/>
      </w:pPr>
      <w:r>
        <w:t>Один идентификатор связывает задачу, ресурсы, договор и результат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Pᵢ = ЗАДАЧА ⊗ ТЕХНОЛОГИЯ ⊗ КООПЕРАЦИЯ ⊗ КАПИТАЛ ⊗ КОНТРАКТ ⊗ ДАННЫЕ ⊗ РЕЗУЛЬТАТ</w:t>
      </w:r>
    </w:p>
    <w:p>
      <w:pPr>
        <w:pStyle w:val="Small"/>
        <w:spacing w:after="100"/>
        <w:ind w:left="288"/>
      </w:pPr>
      <w:r>
        <w:t>Знак ⊗ означает обязательную связанность, а не арифметическое умножение.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7310"/>
      </w:tblGrid>
      <w:tr>
        <w:trPr>
          <w:tblHeader w:val="true"/>
        </w:trPr>
        <w:tc>
          <w:tcPr>
            <w:tcW w:type="dxa" w:w="20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Компонент</w:t>
            </w:r>
          </w:p>
        </w:tc>
        <w:tc>
          <w:tcPr>
            <w:tcW w:type="dxa" w:w="73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Контрольный вопрос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Задача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Кто владелец проблемы, где границы и какое исходное состояние?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Технология</w:t>
            </w:r>
          </w:p>
        </w:tc>
        <w:tc>
          <w:tcPr>
            <w:tcW w:type="dxa" w:w="73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Какое воздействие предлагается, каковы безопасность, зрелость и альтернативы?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Кооперация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Кто проектирует, исполняет, поставляет, наблюдает и валидирует?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Капитал</w:t>
            </w:r>
          </w:p>
        </w:tc>
        <w:tc>
          <w:tcPr>
            <w:tcW w:type="dxa" w:w="73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Каковы законные источники, бюджет использования, резерв и условия возврата остатка?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Контракт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Какие работы, сроки, приёмка, covenants, права, ответственность и основания траншей?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Данные</w:t>
            </w:r>
          </w:p>
        </w:tc>
        <w:tc>
          <w:tcPr>
            <w:tcW w:type="dxa" w:w="73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Каковы baseline, KPI, метод, права, качество, неопределённость и архивная ссылка?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Результат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Какие утверждения допустимы после независимой проверки и кто их утверждает?</w:t>
            </w:r>
          </w:p>
        </w:tc>
      </w:tr>
    </w:tbl>
    <w:p>
      <w:pPr>
        <w:spacing w:after="20"/>
      </w:pP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Ready(Pᵢ) = ∏ bᵢₖ,  bᵢₖ ∈ {0,1}</w:t>
      </w:r>
    </w:p>
    <w:p>
      <w:pPr>
        <w:pStyle w:val="Small"/>
        <w:spacing w:after="100"/>
        <w:ind w:left="288"/>
      </w:pPr>
      <w:r>
        <w:t>Проект готов к запуску только при наличии всех семи компонентов; ECO-PPA не исполняет работы.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11  /  ФИНАНСОВЫЙ КОНТУР</w:t>
      </w:r>
    </w:p>
    <w:p>
      <w:pPr>
        <w:pStyle w:val="Heading1"/>
        <w:keepLines/>
        <w:widowControl/>
        <w:keepNext/>
      </w:pPr>
      <w:r>
        <w:t>Регулируемые деньги проходят через обычный договор и проверяемые шлюзы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Консервативная формула пилота</w:t>
        <w:br/>
      </w:r>
      <w:r>
        <w:rPr>
          <w:rFonts w:ascii="Calibri" w:hAnsi="Calibri" w:eastAsia="Calibri"/>
          <w:color w:val="172033"/>
          <w:sz w:val="21"/>
        </w:rPr>
        <w:t>Регулируемые деньги + обычный договор финансирования + паспорт территории/проекта + ограниченный набор KPI + независимый MRV + Архив наследия = пилот доказательного финансирования биосферного результата.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40"/>
        <w:gridCol w:w="7220"/>
      </w:tblGrid>
      <w:tr>
        <w:trPr>
          <w:tblHeader w:val="true"/>
        </w:trPr>
        <w:tc>
          <w:tcPr>
            <w:tcW w:type="dxa" w:w="21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Элемент</w:t>
            </w:r>
          </w:p>
        </w:tc>
        <w:tc>
          <w:tcPr>
            <w:tcW w:type="dxa" w:w="72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Конструкция первого пилота</w:t>
            </w:r>
          </w:p>
        </w:tc>
      </w:tr>
      <w:tr>
        <w:tc>
          <w:tcPr>
            <w:tcW w:type="dxa" w:w="21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Деньги и счета</w:t>
            </w:r>
          </w:p>
        </w:tc>
        <w:tc>
          <w:tcPr>
            <w:tcW w:type="dxa" w:w="72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Существующая валюта; регулируемый банковский или казначейский счёт; KYC/AML, налоговый и бухгалтерский контур.</w:t>
            </w:r>
          </w:p>
        </w:tc>
      </w:tr>
      <w:tr>
        <w:tc>
          <w:tcPr>
            <w:tcW w:type="dxa" w:w="21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Источники</w:t>
            </w:r>
          </w:p>
        </w:tc>
        <w:tc>
          <w:tcPr>
            <w:tcW w:type="dxa" w:w="72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Бюджет, грант, собственные средства, кредит или средства института развития — только при отдельном законном основании.</w:t>
            </w:r>
          </w:p>
        </w:tc>
      </w:tr>
      <w:tr>
        <w:tc>
          <w:tcPr>
            <w:tcW w:type="dxa" w:w="21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Использование</w:t>
            </w:r>
          </w:p>
        </w:tc>
        <w:tc>
          <w:tcPr>
            <w:tcW w:type="dxa" w:w="72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Работы, оборудование, мониторинг, независимая валидация, Архив, управление и резерв.</w:t>
            </w:r>
          </w:p>
        </w:tc>
      </w:tr>
      <w:tr>
        <w:tc>
          <w:tcPr>
            <w:tcW w:type="dxa" w:w="21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Транши</w:t>
            </w:r>
          </w:p>
        </w:tc>
        <w:tc>
          <w:tcPr>
            <w:tcW w:type="dxa" w:w="72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 подтверждённые работы; небольшая заранее ограниченная outcome-транша возможна только из средств спонсора после независимой проверки.</w:t>
            </w:r>
          </w:p>
        </w:tc>
      </w:tr>
      <w:tr>
        <w:tc>
          <w:tcPr>
            <w:tcW w:type="dxa" w:w="21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Цифровой паспорт</w:t>
            </w:r>
          </w:p>
        </w:tc>
        <w:tc>
          <w:tcPr>
            <w:tcW w:type="dxa" w:w="72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Ссылочный идентификатор проекта в данных и документах; не средство платежа, не ценная бумага и не залог.</w:t>
            </w:r>
          </w:p>
        </w:tc>
      </w:tr>
      <w:tr>
        <w:tc>
          <w:tcPr>
            <w:tcW w:type="dxa" w:w="21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Запрет первого этапа</w:t>
            </w:r>
          </w:p>
        </w:tc>
        <w:tc>
          <w:tcPr>
            <w:tcW w:type="dxa" w:w="72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Без выпуска валюты, токена или ценной бумаги; без автоматического движения денег.</w:t>
            </w:r>
          </w:p>
        </w:tc>
      </w:tr>
    </w:tbl>
    <w:p>
      <w:pPr>
        <w:spacing w:after="20"/>
      </w:pPr>
    </w:p>
    <w:p>
      <w:pPr>
        <w:pStyle w:val="Source"/>
        <w:spacing w:before="80"/>
      </w:pPr>
      <w:r>
        <w:t>BIS 2026 сохраняет публичный денежный якорь, правовую окончательность расчёта и интероперабельность; NGFS связывает природные риски с обычными финансовыми категориями.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12  /  ЧЕТЫРЕ СИНХРОНИЗИРОВАННЫХ РЕГИСТРА</w:t>
      </w:r>
    </w:p>
    <w:p>
      <w:pPr>
        <w:pStyle w:val="Heading1"/>
        <w:keepLines/>
        <w:widowControl/>
        <w:keepNext/>
      </w:pPr>
      <w:r>
        <w:t>Природа, деньги, доказательства и решения связаны, но не смешиваются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Lᵢ = Lᵐᵒⁿᵉʸᵢ  ∥  Lᵇⁱᵒˢᵖʰᵉʳᵉᵢ  ∥  Lᵉᵛⁱᵈᵉⁿᶜᵉᵢ  ∥  Lᵈᵉᶜⁱˢⁱᵒⁿᵢ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4130"/>
        <w:gridCol w:w="3630"/>
      </w:tblGrid>
      <w:tr>
        <w:trPr>
          <w:tblHeader w:val="true"/>
        </w:trPr>
        <w:tc>
          <w:tcPr>
            <w:tcW w:type="dxa" w:w="1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Регистр</w:t>
            </w:r>
          </w:p>
        </w:tc>
        <w:tc>
          <w:tcPr>
            <w:tcW w:type="dxa" w:w="41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Содержит</w:t>
            </w:r>
          </w:p>
        </w:tc>
        <w:tc>
          <w:tcPr>
            <w:tcW w:type="dxa" w:w="36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Не означает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Деньги</w:t>
            </w:r>
          </w:p>
        </w:tc>
        <w:tc>
          <w:tcPr>
            <w:tcW w:type="dxa" w:w="41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источники, лимиты, платежи, резерв, возврат остатка, сверка</w:t>
            </w:r>
          </w:p>
        </w:tc>
        <w:tc>
          <w:tcPr>
            <w:tcW w:type="dxa" w:w="36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денежной оценки каждого природного изменения</w:t>
            </w:r>
          </w:p>
        </w:tc>
      </w:tr>
      <w:tr>
        <w:tc>
          <w:tcPr>
            <w:tcW w:type="dxa" w:w="16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Биосфера</w:t>
            </w:r>
          </w:p>
        </w:tc>
        <w:tc>
          <w:tcPr>
            <w:tcW w:type="dxa" w:w="41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baseline, наблюдения, временные ряды, сценарии и показатели результата</w:t>
            </w:r>
          </w:p>
        </w:tc>
        <w:tc>
          <w:tcPr>
            <w:tcW w:type="dxa" w:w="36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автоматической причинности или «единого здоровья»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Доказательства</w:t>
            </w:r>
          </w:p>
        </w:tc>
        <w:tc>
          <w:tcPr>
            <w:tcW w:type="dxa" w:w="41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первичные данные, метод, преобразования, проверка, права и происхождение</w:t>
            </w:r>
          </w:p>
        </w:tc>
        <w:tc>
          <w:tcPr>
            <w:tcW w:type="dxa" w:w="36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сертификации без уполномоченного органа</w:t>
            </w:r>
          </w:p>
        </w:tc>
      </w:tr>
      <w:tr>
        <w:tc>
          <w:tcPr>
            <w:tcW w:type="dxa" w:w="16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Решения</w:t>
            </w:r>
          </w:p>
        </w:tc>
        <w:tc>
          <w:tcPr>
            <w:tcW w:type="dxa" w:w="41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мандаты, разрешения, приёмка, корректировки, оплата, остановка, оспаривание</w:t>
            </w:r>
          </w:p>
        </w:tc>
        <w:tc>
          <w:tcPr>
            <w:tcW w:type="dxa" w:w="36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автоматического исполнения модельного сигнала</w:t>
            </w:r>
          </w:p>
        </w:tc>
      </w:tr>
    </w:tbl>
    <w:p>
      <w:pPr>
        <w:spacing w:after="20"/>
      </w:pP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Sourcesᵢ = Paymentsᵢ + Reserveᵢ + UnusedOrReturnedᵢ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Основной запрет</w:t>
        <w:br/>
      </w:r>
      <w:r>
        <w:rPr>
          <w:rFonts w:ascii="Calibri" w:hAnsi="Calibri" w:eastAsia="Calibri"/>
          <w:color w:val="172033"/>
          <w:sz w:val="21"/>
        </w:rPr>
        <w:t>Экологический показатель нельзя автоматически превратить в денежную величину без законной методики оценки, независимой оценки и договорного основания.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13  /  ПОТОК ДАННЫХ И ДОКАЗАТЕЛЬСТВ</w:t>
      </w:r>
    </w:p>
    <w:p>
      <w:pPr>
        <w:pStyle w:val="Heading1"/>
        <w:keepLines/>
        <w:widowControl/>
        <w:keepNext/>
      </w:pPr>
      <w:r>
        <w:t>Допуск данных предшествует расчёту и утверждению результата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d* = ⟨id, time, geo, source, method, unit, rights, hash, version, signature⟩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Adm(d) = Schema ∧ Integrity ∧ Rights ∧ Provenance ∧ Quality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1. Получение. </w:t>
      </w:r>
      <w:r>
        <w:t>спутники, датчики, лаборатории, полевые обследования, статистика и местное знание по разрешённому режиму.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2. Контроль. </w:t>
      </w:r>
      <w:r>
        <w:t>схема, целостность, калибровка, полнота, предел обнаружения, единицы и география.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3. Разделение. </w:t>
      </w:r>
      <w:r>
        <w:t>первичное, очищенное, расчётное, прогнозное и управленческое хранятся как разные классы.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4. Расчёт. </w:t>
      </w:r>
      <w:r>
        <w:t>версия алгоритма, параметры, исходные файлы и журнал преобразований.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5. Проверка. </w:t>
      </w:r>
      <w:r>
        <w:t>независимое рассмотрение метода, данных, результата и конфликта интересов.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6. Архивирование. </w:t>
      </w:r>
      <w:r>
        <w:t>пакет доказательств, права, контрольные суммы и события хранения.</w:t>
      </w: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Неприкосновенность источника</w:t>
        <w:br/>
      </w:r>
      <w:r>
        <w:rPr>
          <w:rFonts w:ascii="Calibri" w:hAnsi="Calibri" w:eastAsia="Calibri"/>
          <w:color w:val="172033"/>
          <w:sz w:val="21"/>
        </w:rPr>
        <w:t>Производные данные никогда не перезаписывают первичную запись; авторитетным источником остаётся владелец записи.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14  /  ПОТОК РЕШЕНИЙ И ЗАЩИТНЫЕ МЕХАНИЗМЫ</w:t>
      </w:r>
    </w:p>
    <w:p>
      <w:pPr>
        <w:pStyle w:val="Heading1"/>
        <w:keepLines/>
        <w:widowControl/>
        <w:keepNext/>
      </w:pPr>
      <w:r>
        <w:t>Модель не замыкает контур управления на себя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Payment ⇒ Contract ∧ AuthorizedDecision ∧ AdmissibleEvidence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ClaimedResult ⇒ Baseline ∧ Method ∧ Provenance ∧ Validation ∧ Archive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ModelOutput ⇏ AutomaticPayment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950"/>
        <w:gridCol w:w="2710"/>
      </w:tblGrid>
      <w:tr>
        <w:trPr>
          <w:tblHeader w:val="true"/>
        </w:trPr>
        <w:tc>
          <w:tcPr>
            <w:tcW w:type="dxa" w:w="1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Шлюз</w:t>
            </w:r>
          </w:p>
        </w:tc>
        <w:tc>
          <w:tcPr>
            <w:tcW w:type="dxa" w:w="49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Ответственный вопрос</w:t>
            </w:r>
          </w:p>
        </w:tc>
        <w:tc>
          <w:tcPr>
            <w:tcW w:type="dxa" w:w="27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Возможное решение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Правовой</w:t>
            </w:r>
          </w:p>
        </w:tc>
        <w:tc>
          <w:tcPr>
            <w:tcW w:type="dxa" w:w="4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Есть ли мандат, разрешения, права на данные и договорное основание?</w:t>
            </w:r>
          </w:p>
        </w:tc>
        <w:tc>
          <w:tcPr>
            <w:tcW w:type="dxa" w:w="2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допустить / вернуть / остановить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Научный</w:t>
            </w:r>
          </w:p>
        </w:tc>
        <w:tc>
          <w:tcPr>
            <w:tcW w:type="dxa" w:w="49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Воспроизводимы ли метод, baseline и неопределённость?</w:t>
            </w:r>
          </w:p>
        </w:tc>
        <w:tc>
          <w:tcPr>
            <w:tcW w:type="dxa" w:w="27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принять метод / запросить доработку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Технический</w:t>
            </w:r>
          </w:p>
        </w:tc>
        <w:tc>
          <w:tcPr>
            <w:tcW w:type="dxa" w:w="4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Безопасны ли технология, эксплуатация и план контроля?</w:t>
            </w:r>
          </w:p>
        </w:tc>
        <w:tc>
          <w:tcPr>
            <w:tcW w:type="dxa" w:w="2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разрешить ограниченный объём / запретить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Финансовый</w:t>
            </w:r>
          </w:p>
        </w:tc>
        <w:tc>
          <w:tcPr>
            <w:tcW w:type="dxa" w:w="49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Сбалансирован ли бюджет, подтверждены ли работы и соблюдены covenants?</w:t>
            </w:r>
          </w:p>
        </w:tc>
        <w:tc>
          <w:tcPr>
            <w:tcW w:type="dxa" w:w="27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оплатить / удержать / вернуть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Доказательный</w:t>
            </w:r>
          </w:p>
        </w:tc>
        <w:tc>
          <w:tcPr>
            <w:tcW w:type="dxa" w:w="4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Независима ли проверка и восстановим ли пакет из Архива?</w:t>
            </w:r>
          </w:p>
        </w:tc>
        <w:tc>
          <w:tcPr>
            <w:tcW w:type="dxa" w:w="2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подтвердить утверждение / ограничить формулировку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Human-in-command</w:t>
        <w:br/>
      </w:r>
      <w:r>
        <w:rPr>
          <w:rFonts w:ascii="Calibri" w:hAnsi="Calibri" w:eastAsia="Calibri"/>
          <w:color w:val="172033"/>
          <w:sz w:val="21"/>
        </w:rPr>
        <w:t>ИИ может искать несоответствия и предлагать связи. Научная атрибуция, доступ к ограниченным материалам и финансовое распоряжение остаются за уполномоченными людьми и организациями.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15  /  АРХИВ НАСЛЕДИЯ</w:t>
      </w:r>
    </w:p>
    <w:p>
      <w:pPr>
        <w:pStyle w:val="Heading1"/>
        <w:keepLines/>
        <w:widowControl/>
        <w:keepNext/>
      </w:pPr>
      <w:r>
        <w:t>Архив сохраняет не только результат, но и основание выбора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Назначение</w:t>
        <w:br/>
      </w:r>
      <w:r>
        <w:rPr>
          <w:rFonts w:ascii="Calibri" w:hAnsi="Calibri" w:eastAsia="Calibri"/>
          <w:color w:val="172033"/>
          <w:sz w:val="21"/>
        </w:rPr>
        <w:t>Сохранение, доказательность, управляемый доступ и повторное научное использование. Общий слой хранит идентификаторы, метаданные, сохранные копии и правила доступа; оригиналы остаются у законных хранителей.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80"/>
        <w:gridCol w:w="7080"/>
      </w:tblGrid>
      <w:tr>
        <w:trPr>
          <w:tblHeader w:val="true"/>
        </w:trPr>
        <w:tc>
          <w:tcPr>
            <w:tcW w:type="dxa" w:w="22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Коллекция</w:t>
            </w:r>
          </w:p>
        </w:tc>
        <w:tc>
          <w:tcPr>
            <w:tcW w:type="dxa" w:w="70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Состав</w:t>
            </w:r>
          </w:p>
        </w:tc>
      </w:tr>
      <w:tr>
        <w:tc>
          <w:tcPr>
            <w:tcW w:type="dxa" w:w="22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1. Историческая</w:t>
            </w:r>
          </w:p>
        </w:tc>
        <w:tc>
          <w:tcPr>
            <w:tcW w:type="dxa" w:w="7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карты, наблюдения, исходные состояния и длинные временные ряды</w:t>
            </w:r>
          </w:p>
        </w:tc>
      </w:tr>
      <w:tr>
        <w:tc>
          <w:tcPr>
            <w:tcW w:type="dxa" w:w="22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2. Научная</w:t>
            </w:r>
          </w:p>
        </w:tc>
        <w:tc>
          <w:tcPr>
            <w:tcW w:type="dxa" w:w="70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публикации, методики, модели, код, параметры и экспериментальные данные</w:t>
            </w:r>
          </w:p>
        </w:tc>
      </w:tr>
      <w:tr>
        <w:tc>
          <w:tcPr>
            <w:tcW w:type="dxa" w:w="22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3. Инженерная</w:t>
            </w:r>
          </w:p>
        </w:tc>
        <w:tc>
          <w:tcPr>
            <w:tcW w:type="dxa" w:w="7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технологии, проекты, производственный опыт, эксплуатационные данные</w:t>
            </w:r>
          </w:p>
        </w:tc>
      </w:tr>
      <w:tr>
        <w:tc>
          <w:tcPr>
            <w:tcW w:type="dxa" w:w="22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4. Природная и культурная</w:t>
            </w:r>
          </w:p>
        </w:tc>
        <w:tc>
          <w:tcPr>
            <w:tcW w:type="dxa" w:w="70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описания объектов и традиционное знание с правами носителей и контролем доступа</w:t>
            </w:r>
          </w:p>
        </w:tc>
      </w:tr>
      <w:tr>
        <w:tc>
          <w:tcPr>
            <w:tcW w:type="dxa" w:w="22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5. Правовая и договорная</w:t>
            </w:r>
          </w:p>
        </w:tc>
        <w:tc>
          <w:tcPr>
            <w:tcW w:type="dxa" w:w="7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мандаты, разрешения, договоры, решения и финансовые основания</w:t>
            </w:r>
          </w:p>
        </w:tc>
      </w:tr>
      <w:tr>
        <w:tc>
          <w:tcPr>
            <w:tcW w:type="dxa" w:w="22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6. Доказательная</w:t>
            </w:r>
          </w:p>
        </w:tc>
        <w:tc>
          <w:tcPr>
            <w:tcW w:type="dxa" w:w="70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первичные измерения, версии моделей, протоколы валидации и результата</w:t>
            </w:r>
          </w:p>
        </w:tc>
      </w:tr>
      <w:tr>
        <w:tc>
          <w:tcPr>
            <w:tcW w:type="dxa" w:w="22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7. Уроки</w:t>
            </w:r>
          </w:p>
        </w:tc>
        <w:tc>
          <w:tcPr>
            <w:tcW w:type="dxa" w:w="7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ошибки, отрицательные и нулевые результаты, отклонённые сценарии и причины остановки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Ключевой принцип</w:t>
        <w:br/>
      </w:r>
      <w:r>
        <w:rPr>
          <w:rFonts w:ascii="Calibri" w:hAnsi="Calibri" w:eastAsia="Calibri"/>
          <w:color w:val="172033"/>
          <w:sz w:val="21"/>
        </w:rPr>
        <w:t>Кому принадлежало знание? На каких данных принято решение? Что изменилось? Можно ли воспроизвести вывод? Эти вопросы становятся частью объекта хранения.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16  /  АРХИТЕКТУРА АРХИВА</w:t>
      </w:r>
    </w:p>
    <w:p>
      <w:pPr>
        <w:pStyle w:val="Heading1"/>
        <w:keepLines/>
        <w:widowControl/>
        <w:keepNext/>
      </w:pPr>
      <w:r>
        <w:t>Долговременное хранение строится как управляемый жизненный цикл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SIP  —приём + QA→  AIP  —политика доступа→  DIP</w:t>
      </w:r>
    </w:p>
    <w:p>
      <w:pPr>
        <w:pStyle w:val="Small"/>
        <w:spacing w:after="100"/>
        <w:ind w:left="288"/>
      </w:pPr>
      <w:r>
        <w:t>SIP — пакет передачи; AIP — архивный пакет; DIP — пакет выдачи. Архитектура ориентируется на принципы OAIS, но не объявляется сертифицированной OAIS-системой.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10"/>
        <w:gridCol w:w="6950"/>
      </w:tblGrid>
      <w:tr>
        <w:trPr>
          <w:tblHeader w:val="true"/>
        </w:trPr>
        <w:tc>
          <w:tcPr>
            <w:tcW w:type="dxa" w:w="24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Контур</w:t>
            </w:r>
          </w:p>
        </w:tc>
        <w:tc>
          <w:tcPr>
            <w:tcW w:type="dxa" w:w="69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Функция</w:t>
            </w:r>
          </w:p>
        </w:tc>
      </w:tr>
      <w:tr>
        <w:tc>
          <w:tcPr>
            <w:tcW w:type="dxa" w:w="2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Управление и приём</w:t>
            </w:r>
          </w:p>
        </w:tc>
        <w:tc>
          <w:tcPr>
            <w:tcW w:type="dxa" w:w="6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мандат, отбор, договор передачи, права, этика и регистрация</w:t>
            </w:r>
          </w:p>
        </w:tc>
      </w:tr>
      <w:tr>
        <w:tc>
          <w:tcPr>
            <w:tcW w:type="dxa" w:w="24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Физическая сохранность</w:t>
            </w:r>
          </w:p>
        </w:tc>
        <w:tc>
          <w:tcPr>
            <w:tcW w:type="dxa" w:w="69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условия хранения, консервация, инвентаризация, безопасность</w:t>
            </w:r>
          </w:p>
        </w:tc>
      </w:tr>
      <w:tr>
        <w:tc>
          <w:tcPr>
            <w:tcW w:type="dxa" w:w="2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Оцифровка</w:t>
            </w:r>
          </w:p>
        </w:tc>
        <w:tc>
          <w:tcPr>
            <w:tcW w:type="dxa" w:w="6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мастер-копия, производные форматы, контроль качества и фиксация оборудования</w:t>
            </w:r>
          </w:p>
        </w:tc>
      </w:tr>
      <w:tr>
        <w:tc>
          <w:tcPr>
            <w:tcW w:type="dxa" w:w="24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Долговременное хранение</w:t>
            </w:r>
          </w:p>
        </w:tc>
        <w:tc>
          <w:tcPr>
            <w:tcW w:type="dxa" w:w="69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репликация, контрольные суммы, миграции, события сохранения и восстановление</w:t>
            </w:r>
          </w:p>
        </w:tc>
      </w:tr>
      <w:tr>
        <w:tc>
          <w:tcPr>
            <w:tcW w:type="dxa" w:w="2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Описание и знания</w:t>
            </w:r>
          </w:p>
        </w:tc>
        <w:tc>
          <w:tcPr>
            <w:tcW w:type="dxa" w:w="6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паспорта, связи, онтологии, происхождение, версии и цитирование</w:t>
            </w:r>
          </w:p>
        </w:tc>
      </w:tr>
      <w:tr>
        <w:tc>
          <w:tcPr>
            <w:tcW w:type="dxa" w:w="24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Академическое использование</w:t>
            </w:r>
          </w:p>
        </w:tc>
        <w:tc>
          <w:tcPr>
            <w:tcW w:type="dxa" w:w="69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исследовательские запросы, анализ, публикации, возврат обогащённых данных</w:t>
            </w:r>
          </w:p>
        </w:tc>
      </w:tr>
      <w:tr>
        <w:tc>
          <w:tcPr>
            <w:tcW w:type="dxa" w:w="2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Доступ и устойчивость</w:t>
            </w:r>
          </w:p>
        </w:tc>
        <w:tc>
          <w:tcPr>
            <w:tcW w:type="dxa" w:w="6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публичный, исследовательский, ограниченный и закрытый режим; журнал выдачи и аварийное восстановление</w:t>
            </w:r>
          </w:p>
        </w:tc>
      </w:tr>
    </w:tbl>
    <w:p>
      <w:pPr>
        <w:spacing w:after="20"/>
      </w:pPr>
    </w:p>
    <w:p>
      <w:pPr>
        <w:pStyle w:val="Source"/>
        <w:spacing w:before="80"/>
      </w:pPr>
      <w:r>
        <w:t>Ориентиры: ISO 14721:2025 OAIS — референсная модель; PREMIS — объекты, события, агенты и права; W3C PROV-O — сущности, действия и ответственные агенты.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17  /  АКАДЕМИЧЕСКАЯ ИНТЕГРАЦИЯ И ПРАВА</w:t>
      </w:r>
    </w:p>
    <w:p>
      <w:pPr>
        <w:pStyle w:val="Heading1"/>
        <w:keepLines/>
        <w:widowControl/>
        <w:keepNext/>
      </w:pPr>
      <w:r>
        <w:t>Научный оборот замыкается возвратом проверенного знания в Архив</w:t>
      </w:r>
    </w:p>
    <w:p>
      <w:pPr>
        <w:spacing w:before="100" w:after="80"/>
        <w:ind w:left="288" w:right="288"/>
        <w:shd w:fill="F2F4F7"/>
        <w:keepLines/>
        <w:widowControl/>
      </w:pPr>
      <w:r>
        <w:rPr>
          <w:rFonts w:ascii="Consolas" w:hAnsi="Consolas" w:eastAsia="Consolas"/>
          <w:b/>
          <w:color w:val="0B2545"/>
          <w:sz w:val="20"/>
        </w:rPr>
        <w:t>ЗАПРОС → ПРОБЛЕМА → МЕТОД → ДАННЫЕ → ВЫВОД → ПУБЛИКАЦИЯ → ОБОГАЩЕНИЕ АРХИВА → ПОВТОРНАЯ ПРОВЕРКА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3980"/>
        <w:gridCol w:w="3330"/>
      </w:tblGrid>
      <w:tr>
        <w:trPr>
          <w:tblHeader w:val="true"/>
        </w:trPr>
        <w:tc>
          <w:tcPr>
            <w:tcW w:type="dxa" w:w="20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Участник</w:t>
            </w:r>
          </w:p>
        </w:tc>
        <w:tc>
          <w:tcPr>
            <w:tcW w:type="dxa" w:w="39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Роль</w:t>
            </w:r>
          </w:p>
        </w:tc>
        <w:tc>
          <w:tcPr>
            <w:tcW w:type="dxa" w:w="33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Ограничение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Академические институты</w:t>
            </w:r>
          </w:p>
        </w:tc>
        <w:tc>
          <w:tcPr>
            <w:tcW w:type="dxa" w:w="39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методы, экспертиза, исследования и подготовка коллекций</w:t>
            </w:r>
          </w:p>
        </w:tc>
        <w:tc>
          <w:tcPr>
            <w:tcW w:type="dxa" w:w="33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получают исключительных прав на чужие первичные записи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Лаборатории</w:t>
            </w:r>
          </w:p>
        </w:tc>
        <w:tc>
          <w:tcPr>
            <w:tcW w:type="dxa" w:w="39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измерения, калибровка, QA/QC и протоколы</w:t>
            </w:r>
          </w:p>
        </w:tc>
        <w:tc>
          <w:tcPr>
            <w:tcW w:type="dxa" w:w="33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скрывают метод, пределы обнаружения и неопределённость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Хранители и сообщества</w:t>
            </w:r>
          </w:p>
        </w:tc>
        <w:tc>
          <w:tcPr>
            <w:tcW w:type="dxa" w:w="39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идентификация, контекст, права, режим доступа и согласие</w:t>
            </w:r>
          </w:p>
        </w:tc>
        <w:tc>
          <w:tcPr>
            <w:tcW w:type="dxa" w:w="33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знание не отчуждается и не монетизируется без законного основания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Независимые валидаторы</w:t>
            </w:r>
          </w:p>
        </w:tc>
        <w:tc>
          <w:tcPr>
            <w:tcW w:type="dxa" w:w="39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проверка метода, данных и утверждений</w:t>
            </w:r>
          </w:p>
        </w:tc>
        <w:tc>
          <w:tcPr>
            <w:tcW w:type="dxa" w:w="33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участвуют в исполнении проверяемых работ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СФЕРА</w:t>
            </w:r>
          </w:p>
        </w:tc>
        <w:tc>
          <w:tcPr>
            <w:tcW w:type="dxa" w:w="39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поиск компетенций и публикация разрешённых результатов</w:t>
            </w:r>
          </w:p>
        </w:tc>
        <w:tc>
          <w:tcPr>
            <w:tcW w:type="dxa" w:w="33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раскрывает закрытые материалы и персональные данные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Права и этика</w:t>
        <w:br/>
      </w:r>
      <w:r>
        <w:rPr>
          <w:rFonts w:ascii="Calibri" w:hAnsi="Calibri" w:eastAsia="Calibri"/>
          <w:color w:val="172033"/>
          <w:sz w:val="21"/>
        </w:rPr>
        <w:t>Традиционные знания, генетические ресурсы и цифровая информация рассматриваются с учётом согласия, benefit-sharing, лицензий, персональных данных, коммерческой тайны и иных применимых режимов. Архив не превращает наследие в свободно отчуждаемый финансовый актив.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18  /  УПРАВЛЕНИЕ И РАЗДЕЛЕНИЕ ПОЛНОМОЧИЙ</w:t>
      </w:r>
    </w:p>
    <w:p>
      <w:pPr>
        <w:pStyle w:val="Heading1"/>
        <w:keepLines/>
        <w:widowControl/>
        <w:keepNext/>
      </w:pPr>
      <w:r>
        <w:t>Независимость ролей важнее технологического удобства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90"/>
        <w:gridCol w:w="4050"/>
        <w:gridCol w:w="3320"/>
      </w:tblGrid>
      <w:tr>
        <w:trPr>
          <w:tblHeader w:val="true"/>
        </w:trPr>
        <w:tc>
          <w:tcPr>
            <w:tcW w:type="dxa" w:w="199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Роль</w:t>
            </w:r>
          </w:p>
        </w:tc>
        <w:tc>
          <w:tcPr>
            <w:tcW w:type="dxa" w:w="40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Отвечает</w:t>
            </w:r>
          </w:p>
        </w:tc>
        <w:tc>
          <w:tcPr>
            <w:tcW w:type="dxa" w:w="33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Не выполняет единолично</w:t>
            </w:r>
          </w:p>
        </w:tc>
      </w:tr>
      <w:tr>
        <w:tc>
          <w:tcPr>
            <w:tcW w:type="dxa" w:w="19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Владелец территории / заказчик</w:t>
            </w:r>
          </w:p>
        </w:tc>
        <w:tc>
          <w:tcPr>
            <w:tcW w:type="dxa" w:w="4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мандат, допуски, приёмка и ответственное решение</w:t>
            </w:r>
          </w:p>
        </w:tc>
        <w:tc>
          <w:tcPr>
            <w:tcW w:type="dxa" w:w="33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изменение доказательств задним числом</w:t>
            </w:r>
          </w:p>
        </w:tc>
      </w:tr>
      <w:tr>
        <w:tc>
          <w:tcPr>
            <w:tcW w:type="dxa" w:w="19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ЭКВИЛИБРИУМ</w:t>
            </w:r>
          </w:p>
        </w:tc>
        <w:tc>
          <w:tcPr>
            <w:tcW w:type="dxa" w:w="4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анализ, модель, сценарии, предупреждения и неопределённость</w:t>
            </w:r>
          </w:p>
        </w:tc>
        <w:tc>
          <w:tcPr>
            <w:tcW w:type="dxa" w:w="33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финансовое распоряжение</w:t>
            </w:r>
          </w:p>
        </w:tc>
      </w:tr>
      <w:tr>
        <w:tc>
          <w:tcPr>
            <w:tcW w:type="dxa" w:w="19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ECO-PPA</w:t>
            </w:r>
          </w:p>
        </w:tc>
        <w:tc>
          <w:tcPr>
            <w:tcW w:type="dxa" w:w="4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целостность паспорта, договора, ресурсов, данных и результата</w:t>
            </w:r>
          </w:p>
        </w:tc>
        <w:tc>
          <w:tcPr>
            <w:tcW w:type="dxa" w:w="33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физическое исполнение</w:t>
            </w:r>
          </w:p>
        </w:tc>
      </w:tr>
      <w:tr>
        <w:tc>
          <w:tcPr>
            <w:tcW w:type="dxa" w:w="19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СПЕЦЗАЩИТА</w:t>
            </w:r>
          </w:p>
        </w:tc>
        <w:tc>
          <w:tcPr>
            <w:tcW w:type="dxa" w:w="4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кооперация, работы, логистика, безопасность и отчёт исполнителя</w:t>
            </w:r>
          </w:p>
        </w:tc>
        <w:tc>
          <w:tcPr>
            <w:tcW w:type="dxa" w:w="33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независимая валидация</w:t>
            </w:r>
          </w:p>
        </w:tc>
      </w:tr>
      <w:tr>
        <w:tc>
          <w:tcPr>
            <w:tcW w:type="dxa" w:w="19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Финансовый институт</w:t>
            </w:r>
          </w:p>
        </w:tc>
        <w:tc>
          <w:tcPr>
            <w:tcW w:type="dxa" w:w="4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счёт, платёжная дисциплина и законные процедуры</w:t>
            </w:r>
          </w:p>
        </w:tc>
        <w:tc>
          <w:tcPr>
            <w:tcW w:type="dxa" w:w="33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экологическая атрибуция</w:t>
            </w:r>
          </w:p>
        </w:tc>
      </w:tr>
      <w:tr>
        <w:tc>
          <w:tcPr>
            <w:tcW w:type="dxa" w:w="19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Независимый валидатор</w:t>
            </w:r>
          </w:p>
        </w:tc>
        <w:tc>
          <w:tcPr>
            <w:tcW w:type="dxa" w:w="4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методика, данные, конфликт интересов и формулировка результата</w:t>
            </w:r>
          </w:p>
        </w:tc>
        <w:tc>
          <w:tcPr>
            <w:tcW w:type="dxa" w:w="33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исполнение проверяемого проекта</w:t>
            </w:r>
          </w:p>
        </w:tc>
      </w:tr>
      <w:tr>
        <w:tc>
          <w:tcPr>
            <w:tcW w:type="dxa" w:w="19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Архив наследия</w:t>
            </w:r>
          </w:p>
        </w:tc>
        <w:tc>
          <w:tcPr>
            <w:tcW w:type="dxa" w:w="4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происхождение, версии, права, хранение и выдача</w:t>
            </w:r>
          </w:p>
        </w:tc>
        <w:tc>
          <w:tcPr>
            <w:tcW w:type="dxa" w:w="33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подмена владельца записи или научной экспертизы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Правило конфликта интересов</w:t>
        <w:br/>
      </w:r>
      <w:r>
        <w:rPr>
          <w:rFonts w:ascii="Calibri" w:hAnsi="Calibri" w:eastAsia="Calibri"/>
          <w:color w:val="172033"/>
          <w:sz w:val="21"/>
        </w:rPr>
        <w:t>Исполнение, приёмка, валидация и распоряжение средствами должны иметь раздельные полномочия, журналы действий и процедуру оспаривания.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19  /  ПИЛОТНЫЙ КОНТУР ТЕРРИТОРИИ</w:t>
      </w:r>
    </w:p>
    <w:p>
      <w:pPr>
        <w:pStyle w:val="Heading1"/>
        <w:keepLines/>
        <w:widowControl/>
        <w:keepNext/>
      </w:pPr>
      <w:r>
        <w:t>Сызрань — Рамено — Смолькино: сначала обследование, затем функции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Предостережение</w:t>
        <w:br/>
      </w:r>
      <w:r>
        <w:rPr>
          <w:rFonts w:ascii="Calibri" w:hAnsi="Calibri" w:eastAsia="Calibri"/>
          <w:color w:val="172033"/>
          <w:sz w:val="21"/>
        </w:rPr>
        <w:t>Пакет не назначает территориям заранее неподтверждённые экологические характеристики и не обещает конкретный эффект до обследования, baseline и выбора технологии.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520"/>
        <w:gridCol w:w="3140"/>
      </w:tblGrid>
      <w:tr>
        <w:trPr>
          <w:tblHeader w:val="true"/>
        </w:trPr>
        <w:tc>
          <w:tcPr>
            <w:tcW w:type="dxa" w:w="1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Участок</w:t>
            </w:r>
          </w:p>
        </w:tc>
        <w:tc>
          <w:tcPr>
            <w:tcW w:type="dxa" w:w="45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Обязательное обследование</w:t>
            </w:r>
          </w:p>
        </w:tc>
        <w:tc>
          <w:tcPr>
            <w:tcW w:type="dxa" w:w="31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Выход 90 дней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Сызрань</w:t>
            </w:r>
          </w:p>
        </w:tc>
        <w:tc>
          <w:tcPr>
            <w:tcW w:type="dxa" w:w="45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мандат, границы, вода, почва, биота, нагрузка, инфраструктура, источники данных и права</w:t>
            </w:r>
          </w:p>
        </w:tc>
        <w:tc>
          <w:tcPr>
            <w:tcW w:type="dxa" w:w="31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верифицированный профиль территории и перечень допустимых задач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Рамено</w:t>
            </w:r>
          </w:p>
        </w:tc>
        <w:tc>
          <w:tcPr>
            <w:tcW w:type="dxa" w:w="45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тот же унифицированный протокол; локальные особенности фиксируются только по данным</w:t>
            </w:r>
          </w:p>
        </w:tc>
        <w:tc>
          <w:tcPr>
            <w:tcW w:type="dxa" w:w="31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сопоставимый профиль, пробелы данных и сценарии наблюдения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Смолькино</w:t>
            </w:r>
          </w:p>
        </w:tc>
        <w:tc>
          <w:tcPr>
            <w:tcW w:type="dxa" w:w="45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тот же унифицированный протокол; обязательна фиксация исторических и культурных материалов</w:t>
            </w:r>
          </w:p>
        </w:tc>
        <w:tc>
          <w:tcPr>
            <w:tcW w:type="dxa" w:w="31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сопоставимый профиль и первый пакет Архива наследия</w:t>
            </w:r>
          </w:p>
        </w:tc>
      </w:tr>
    </w:tbl>
    <w:p>
      <w:pPr>
        <w:spacing w:after="20"/>
      </w:pPr>
    </w:p>
    <w:p>
      <w:pPr>
        <w:spacing w:after="160" w:line="280" w:lineRule="auto"/>
        <w:jc w:val="left"/>
        <w:numPr>
          <w:ilvl w:val="0"/>
          <w:numId w:val="61"/>
        </w:numPr>
      </w:pPr>
      <w:r>
        <w:t>Единая система координат и идентификаторов участков.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Общие определения показателей при локальных методиках и порогах.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Синхронные права доступа, журнал происхождения и каталог Архива.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Раздельные baseline и решения по каждому участку; запрет усреднения критических рисков.</w:t>
      </w: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Цель</w:t>
        <w:br/>
      </w:r>
      <w:r>
        <w:rPr>
          <w:rFonts w:ascii="Calibri" w:hAnsi="Calibri" w:eastAsia="Calibri"/>
          <w:color w:val="172033"/>
          <w:sz w:val="21"/>
        </w:rPr>
        <w:t>Проверить не «идеальную территорию», а переносимость доказательного контура между тремя разными локальными контекстами.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20  /  90-ДНЕВНАЯ АПРОБАЦИЯ</w:t>
      </w:r>
    </w:p>
    <w:p>
      <w:pPr>
        <w:pStyle w:val="Heading1"/>
        <w:keepLines/>
        <w:widowControl/>
        <w:keepNext/>
      </w:pPr>
      <w:r>
        <w:t>Первый этап проверяет архитектуру без финансового риска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4870"/>
        <w:gridCol w:w="3390"/>
      </w:tblGrid>
      <w:tr>
        <w:trPr>
          <w:tblHeader w:val="true"/>
        </w:trPr>
        <w:tc>
          <w:tcPr>
            <w:tcW w:type="dxa" w:w="1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Срок</w:t>
            </w:r>
          </w:p>
        </w:tc>
        <w:tc>
          <w:tcPr>
            <w:tcW w:type="dxa" w:w="487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Работы</w:t>
            </w:r>
          </w:p>
        </w:tc>
        <w:tc>
          <w:tcPr>
            <w:tcW w:type="dxa" w:w="339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Результат</w:t>
            </w:r>
          </w:p>
        </w:tc>
      </w:tr>
      <w:tr>
        <w:tc>
          <w:tcPr>
            <w:tcW w:type="dxa" w:w="1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1–10</w:t>
            </w:r>
          </w:p>
        </w:tc>
        <w:tc>
          <w:tcPr>
            <w:tcW w:type="dxa" w:w="48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мандат, рабочая группа, владельцы данных и территорий, правовые границы</w:t>
            </w:r>
          </w:p>
        </w:tc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устав и RACI</w:t>
            </w:r>
          </w:p>
        </w:tc>
      </w:tr>
      <w:tr>
        <w:tc>
          <w:tcPr>
            <w:tcW w:type="dxa" w:w="1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11–25</w:t>
            </w:r>
          </w:p>
        </w:tc>
        <w:tc>
          <w:tcPr>
            <w:tcW w:type="dxa" w:w="48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инвентаризация данных, исторических материалов и прав доступа</w:t>
            </w:r>
          </w:p>
        </w:tc>
        <w:tc>
          <w:tcPr>
            <w:tcW w:type="dxa" w:w="3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реестр данных и первый SIP Архива</w:t>
            </w:r>
          </w:p>
        </w:tc>
      </w:tr>
      <w:tr>
        <w:tc>
          <w:tcPr>
            <w:tcW w:type="dxa" w:w="1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26–40</w:t>
            </w:r>
          </w:p>
        </w:tc>
        <w:tc>
          <w:tcPr>
            <w:tcW w:type="dxa" w:w="48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baseline, словарь показателей, модель 0.1</w:t>
            </w:r>
          </w:p>
        </w:tc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три паспорта участков и общий паспорт контура</w:t>
            </w:r>
          </w:p>
        </w:tc>
      </w:tr>
      <w:tr>
        <w:tc>
          <w:tcPr>
            <w:tcW w:type="dxa" w:w="1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41–55</w:t>
            </w:r>
          </w:p>
        </w:tc>
        <w:tc>
          <w:tcPr>
            <w:tcW w:type="dxa" w:w="48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сценарии, технологии, кооперация и риски</w:t>
            </w:r>
          </w:p>
        </w:tc>
        <w:tc>
          <w:tcPr>
            <w:tcW w:type="dxa" w:w="3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варианты воздействия без неподтверждённых обещаний</w:t>
            </w:r>
          </w:p>
        </w:tc>
      </w:tr>
      <w:tr>
        <w:tc>
          <w:tcPr>
            <w:tcW w:type="dxa" w:w="1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56–70</w:t>
            </w:r>
          </w:p>
        </w:tc>
        <w:tc>
          <w:tcPr>
            <w:tcW w:type="dxa" w:w="48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ECO-PPA, бюджет источников/использования и договорные шлюзы</w:t>
            </w:r>
          </w:p>
        </w:tc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паспорт, term sheet и тестовые регистры</w:t>
            </w:r>
          </w:p>
        </w:tc>
      </w:tr>
      <w:tr>
        <w:tc>
          <w:tcPr>
            <w:tcW w:type="dxa" w:w="1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71–82</w:t>
            </w:r>
          </w:p>
        </w:tc>
        <w:tc>
          <w:tcPr>
            <w:tcW w:type="dxa" w:w="48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контрольные измерения и учебное прохождение полного цикла</w:t>
            </w:r>
          </w:p>
        </w:tc>
        <w:tc>
          <w:tcPr>
            <w:tcW w:type="dxa" w:w="3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пакет доказательств и тестовый AIP</w:t>
            </w:r>
          </w:p>
        </w:tc>
      </w:tr>
      <w:tr>
        <w:tc>
          <w:tcPr>
            <w:tcW w:type="dxa" w:w="1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83–90</w:t>
            </w:r>
          </w:p>
        </w:tc>
        <w:tc>
          <w:tcPr>
            <w:tcW w:type="dxa" w:w="48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независимое рассмотрение</w:t>
            </w:r>
          </w:p>
        </w:tc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GO / условный GO / NO-GO по полевому пилоту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Shadow mode</w:t>
        <w:br/>
      </w:r>
      <w:r>
        <w:rPr>
          <w:rFonts w:ascii="Calibri" w:hAnsi="Calibri" w:eastAsia="Calibri"/>
          <w:color w:val="172033"/>
          <w:sz w:val="21"/>
        </w:rPr>
        <w:t>Система рассчитывает возможные решения и формирует документы, но не двигает деньги. Допускаются только добровольные кейсы, доступ к которым предоставлен законно.</w:t>
      </w:r>
    </w:p>
    <w:p>
      <w:pPr>
        <w:pStyle w:val="Source"/>
        <w:spacing w:before="80"/>
      </w:pPr>
      <w:r>
        <w:t>Критерий успеха этапа — воспроизводимость полного пакета, а не положительный экологический эффект, который требует полевого исполнения и достаточного периода наблюдений.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21  /  УСЛОВНЫЙ 12-МЕСЯЧНЫЙ ПИЛОТ</w:t>
      </w:r>
    </w:p>
    <w:p>
      <w:pPr>
        <w:pStyle w:val="Heading1"/>
        <w:keepLines/>
        <w:widowControl/>
        <w:keepNext/>
      </w:pPr>
      <w:r>
        <w:t>Полевое исполнение начинается только после отдельного GO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7910"/>
      </w:tblGrid>
      <w:tr>
        <w:trPr>
          <w:tblHeader w:val="true"/>
        </w:trPr>
        <w:tc>
          <w:tcPr>
            <w:tcW w:type="dxa" w:w="14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Месяц</w:t>
            </w:r>
          </w:p>
        </w:tc>
        <w:tc>
          <w:tcPr>
            <w:tcW w:type="dxa" w:w="79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Контрольная работа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1–2</w:t>
            </w:r>
          </w:p>
        </w:tc>
        <w:tc>
          <w:tcPr>
            <w:tcW w:type="dxa" w:w="79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полная исходная линия, обследование, разрешения и система наблюдений</w:t>
            </w:r>
          </w:p>
        </w:tc>
      </w:tr>
      <w:tr>
        <w:tc>
          <w:tcPr>
            <w:tcW w:type="dxa" w:w="1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3</w:t>
            </w:r>
          </w:p>
        </w:tc>
        <w:tc>
          <w:tcPr>
            <w:tcW w:type="dxa" w:w="79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инженерные решения, предварительная регистрация показателей и методов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4</w:t>
            </w:r>
          </w:p>
        </w:tc>
        <w:tc>
          <w:tcPr>
            <w:tcW w:type="dxa" w:w="79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договоры, счета, источники средств и закупочные процедуры</w:t>
            </w:r>
          </w:p>
        </w:tc>
      </w:tr>
      <w:tr>
        <w:tc>
          <w:tcPr>
            <w:tcW w:type="dxa" w:w="1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5–8</w:t>
            </w:r>
          </w:p>
        </w:tc>
        <w:tc>
          <w:tcPr>
            <w:tcW w:type="dxa" w:w="79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ограниченное исполнение, контроль безопасности и транши за принятые работы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9</w:t>
            </w:r>
          </w:p>
        </w:tc>
        <w:tc>
          <w:tcPr>
            <w:tcW w:type="dxa" w:w="79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промежуточное измерение и адаптивное решение уполномоченного органа</w:t>
            </w:r>
          </w:p>
        </w:tc>
      </w:tr>
      <w:tr>
        <w:tc>
          <w:tcPr>
            <w:tcW w:type="dxa" w:w="1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10</w:t>
            </w:r>
          </w:p>
        </w:tc>
        <w:tc>
          <w:tcPr>
            <w:tcW w:type="dxa" w:w="79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повторное измерение и сравнение с контрфактическим сценарием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11</w:t>
            </w:r>
          </w:p>
        </w:tc>
        <w:tc>
          <w:tcPr>
            <w:tcW w:type="dxa" w:w="79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независимая валидация, финансовая сверка и архивирование</w:t>
            </w:r>
          </w:p>
        </w:tc>
      </w:tr>
      <w:tr>
        <w:tc>
          <w:tcPr>
            <w:tcW w:type="dxa" w:w="1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12</w:t>
            </w:r>
          </w:p>
        </w:tc>
        <w:tc>
          <w:tcPr>
            <w:tcW w:type="dxa" w:w="79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решение: масштабировать, доработать, повторить или остановить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Транши</w:t>
        <w:br/>
      </w:r>
      <w:r>
        <w:rPr>
          <w:rFonts w:ascii="Calibri" w:hAnsi="Calibri" w:eastAsia="Calibri"/>
          <w:color w:val="172033"/>
          <w:sz w:val="21"/>
        </w:rPr>
        <w:t>Основная оплата — за договорно подтверждённые работы. Outcome-транша, если она предусмотрена законно, заранее ограничена и выплачивается только после независимой проверки и решения уполномоченной стороны.</w:t>
      </w: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Отрицательный результат</w:t>
        <w:br/>
      </w:r>
      <w:r>
        <w:rPr>
          <w:rFonts w:ascii="Calibri" w:hAnsi="Calibri" w:eastAsia="Calibri"/>
          <w:color w:val="172033"/>
          <w:sz w:val="21"/>
        </w:rPr>
        <w:t>Может подтвердить работоспособность доказательного контура, но не является основанием для масштабирования неэффективной или небезопасной технологии.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22  /  GO / УСЛОВНЫЙ GO / NO-GO</w:t>
      </w:r>
    </w:p>
    <w:p>
      <w:pPr>
        <w:pStyle w:val="Heading1"/>
        <w:keepLines/>
        <w:widowControl/>
        <w:keepNext/>
      </w:pPr>
      <w:r>
        <w:t>Восемь критических шлюзов должны быть закрыты одновременно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20"/>
        <w:gridCol w:w="7440"/>
      </w:tblGrid>
      <w:tr>
        <w:trPr>
          <w:tblHeader w:val="true"/>
        </w:trPr>
        <w:tc>
          <w:tcPr>
            <w:tcW w:type="dxa" w:w="19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Шлюз</w:t>
            </w:r>
          </w:p>
        </w:tc>
        <w:tc>
          <w:tcPr>
            <w:tcW w:type="dxa" w:w="74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Минимальное доказательство</w:t>
            </w:r>
          </w:p>
        </w:tc>
      </w:tr>
      <w:tr>
        <w:tc>
          <w:tcPr>
            <w:tcW w:type="dxa" w:w="1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Право</w:t>
            </w:r>
          </w:p>
        </w:tc>
        <w:tc>
          <w:tcPr>
            <w:tcW w:type="dxa" w:w="7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мандат, разрешения, договор и допустимость финансовой схемы</w:t>
            </w:r>
          </w:p>
        </w:tc>
      </w:tr>
      <w:tr>
        <w:tc>
          <w:tcPr>
            <w:tcW w:type="dxa" w:w="1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Безопасность</w:t>
            </w:r>
          </w:p>
        </w:tc>
        <w:tc>
          <w:tcPr>
            <w:tcW w:type="dxa" w:w="74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экологическая и техническая оценка, план остановки и реагирования</w:t>
            </w:r>
          </w:p>
        </w:tc>
      </w:tr>
      <w:tr>
        <w:tc>
          <w:tcPr>
            <w:tcW w:type="dxa" w:w="1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Владелец решения</w:t>
            </w:r>
          </w:p>
        </w:tc>
        <w:tc>
          <w:tcPr>
            <w:tcW w:type="dxa" w:w="7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назначенные полномочия, приёмка и процедура оспаривания</w:t>
            </w:r>
          </w:p>
        </w:tc>
      </w:tr>
      <w:tr>
        <w:tc>
          <w:tcPr>
            <w:tcW w:type="dxa" w:w="1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Права на данные</w:t>
            </w:r>
          </w:p>
        </w:tc>
        <w:tc>
          <w:tcPr>
            <w:tcW w:type="dxa" w:w="74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согласия, лицензии, доступ, конфиденциальность и права носителей знаний</w:t>
            </w:r>
          </w:p>
        </w:tc>
      </w:tr>
      <w:tr>
        <w:tc>
          <w:tcPr>
            <w:tcW w:type="dxa" w:w="1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Baseline</w:t>
            </w:r>
          </w:p>
        </w:tc>
        <w:tc>
          <w:tcPr>
            <w:tcW w:type="dxa" w:w="7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измеримая исходная линия, сезонность, пробелы и неопределённость</w:t>
            </w:r>
          </w:p>
        </w:tc>
      </w:tr>
      <w:tr>
        <w:tc>
          <w:tcPr>
            <w:tcW w:type="dxa" w:w="1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Бюджет</w:t>
            </w:r>
          </w:p>
        </w:tc>
        <w:tc>
          <w:tcPr>
            <w:tcW w:type="dxa" w:w="74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источники = использование + резерв + возврат остатка</w:t>
            </w:r>
          </w:p>
        </w:tc>
      </w:tr>
      <w:tr>
        <w:tc>
          <w:tcPr>
            <w:tcW w:type="dxa" w:w="1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Независимость</w:t>
            </w:r>
          </w:p>
        </w:tc>
        <w:tc>
          <w:tcPr>
            <w:tcW w:type="dxa" w:w="74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разделение исполнения, приёмки, валидации и платежного распоряжения</w:t>
            </w:r>
          </w:p>
        </w:tc>
      </w:tr>
      <w:tr>
        <w:tc>
          <w:tcPr>
            <w:tcW w:type="dxa" w:w="19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Архив</w:t>
            </w:r>
          </w:p>
        </w:tc>
        <w:tc>
          <w:tcPr>
            <w:tcW w:type="dxa" w:w="74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пакет можно восстановить и выдать по установленному режиму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Проект решения</w:t>
        <w:br/>
      </w:r>
      <w:r>
        <w:rPr>
          <w:rFonts w:ascii="Calibri" w:hAnsi="Calibri" w:eastAsia="Calibri"/>
          <w:color w:val="172033"/>
          <w:sz w:val="21"/>
        </w:rPr>
        <w:t>Создать рабочую группу; утвердить 90-дневную апробацию в shadow mode; назначить владельцев данных и решений; на 90-й день рассмотреть независимое заключение и отдельно решить вопрос о 12-месячном пилоте.</w:t>
      </w:r>
    </w:p>
    <w:p>
      <w:pPr>
        <w:pStyle w:val="Source"/>
        <w:spacing w:before="80"/>
      </w:pPr>
      <w:r>
        <w:t>GO требует закрытия всех критических шлюзов. Условный GO допустим только при устранимых замечаниях с ответственными и сроками. Один незакрытый критический шлюз означает NO-GO.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23  /  РИСКИ И МЕРЫ КОНТРОЛЯ</w:t>
      </w:r>
    </w:p>
    <w:p>
      <w:pPr>
        <w:pStyle w:val="Heading1"/>
        <w:keepLines/>
        <w:widowControl/>
        <w:keepNext/>
      </w:pPr>
      <w:r>
        <w:t>Сильная архитектура начинается с явного описания отказов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90"/>
        <w:gridCol w:w="5970"/>
      </w:tblGrid>
      <w:tr>
        <w:trPr>
          <w:tblHeader w:val="true"/>
        </w:trPr>
        <w:tc>
          <w:tcPr>
            <w:tcW w:type="dxa" w:w="339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Риск</w:t>
            </w:r>
          </w:p>
        </w:tc>
        <w:tc>
          <w:tcPr>
            <w:tcW w:type="dxa" w:w="597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Контроль</w:t>
            </w:r>
          </w:p>
        </w:tc>
      </w:tr>
      <w:tr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Модельная уверенность выглядит как факт</w:t>
            </w:r>
          </w:p>
        </w:tc>
        <w:tc>
          <w:tcPr>
            <w:tcW w:type="dxa" w:w="59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вероятности, интервалы, версии, контрфактический метод и экспертное решение</w:t>
            </w:r>
          </w:p>
        </w:tc>
      </w:tr>
      <w:tr>
        <w:tc>
          <w:tcPr>
            <w:tcW w:type="dxa" w:w="3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Один KPI скрывает ущерб другому контуру</w:t>
            </w:r>
          </w:p>
        </w:tc>
        <w:tc>
          <w:tcPr>
            <w:tcW w:type="dxa" w:w="59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панель несмешиваемых показателей и запрет автоматической компенсации</w:t>
            </w:r>
          </w:p>
        </w:tc>
      </w:tr>
      <w:tr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Двойной учёт результата</w:t>
            </w:r>
          </w:p>
        </w:tc>
        <w:tc>
          <w:tcPr>
            <w:tcW w:type="dxa" w:w="59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единый ID проекта, география, период, права на утверждение и поиск пересечений</w:t>
            </w:r>
          </w:p>
        </w:tc>
      </w:tr>
      <w:tr>
        <w:tc>
          <w:tcPr>
            <w:tcW w:type="dxa" w:w="3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Автоматизация платежа по датчику</w:t>
            </w:r>
          </w:p>
        </w:tc>
        <w:tc>
          <w:tcPr>
            <w:tcW w:type="dxa" w:w="59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четыре шлюза: договор, приёмка, доказательства, уполномоченное распоряжение</w:t>
            </w:r>
          </w:p>
        </w:tc>
      </w:tr>
      <w:tr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Исполнитель проверяет себя</w:t>
            </w:r>
          </w:p>
        </w:tc>
        <w:tc>
          <w:tcPr>
            <w:tcW w:type="dxa" w:w="59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организационная и договорная независимость валидатора</w:t>
            </w:r>
          </w:p>
        </w:tc>
      </w:tr>
      <w:tr>
        <w:tc>
          <w:tcPr>
            <w:tcW w:type="dxa" w:w="3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Потеря истории и отрицательных данных</w:t>
            </w:r>
          </w:p>
        </w:tc>
        <w:tc>
          <w:tcPr>
            <w:tcW w:type="dxa" w:w="59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обязательный Архив наследия, контрольные суммы и политика сохранения</w:t>
            </w:r>
          </w:p>
        </w:tc>
      </w:tr>
      <w:tr>
        <w:tc>
          <w:tcPr>
            <w:tcW w:type="dxa" w:w="3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Нарушение прав на традиционные знания</w:t>
            </w:r>
          </w:p>
        </w:tc>
        <w:tc>
          <w:tcPr>
            <w:tcW w:type="dxa" w:w="59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согласие, режим доступа, benefit-sharing и право отзыва в применимых границах</w:t>
            </w:r>
          </w:p>
        </w:tc>
      </w:tr>
      <w:tr>
        <w:tc>
          <w:tcPr>
            <w:tcW w:type="dxa" w:w="3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Название воспринимается как обещание новой валюты</w:t>
            </w:r>
          </w:p>
        </w:tc>
        <w:tc>
          <w:tcPr>
            <w:tcW w:type="dxa" w:w="59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постоянная юридическая оговорка и запрет эмиссии на пилоте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Статус документа</w:t>
        <w:br/>
      </w:r>
      <w:r>
        <w:rPr>
          <w:rFonts w:ascii="Calibri" w:hAnsi="Calibri" w:eastAsia="Calibri"/>
          <w:color w:val="172033"/>
          <w:sz w:val="21"/>
        </w:rPr>
        <w:t>Авторская концепция. Юридические, финансовые, метрологические, экологические и архивные выводы возникают только после независимой проверки конкретных кейсов.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24  /  ИСТОЧНИКИ И ОБЯЗАТЕЛЬНЫЕ ОГРАНИЧЕНИЯ</w:t>
      </w:r>
    </w:p>
    <w:p>
      <w:pPr>
        <w:pStyle w:val="Heading1"/>
        <w:keepLines/>
        <w:widowControl/>
        <w:keepNext/>
      </w:pPr>
      <w:r>
        <w:t>Официальная база и правила интерпретации</w:t>
      </w:r>
    </w:p>
    <w:p>
      <w:pPr>
        <w:pStyle w:val="Lead"/>
        <w:spacing w:after="240"/>
      </w:pPr>
      <w:r>
        <w:t>Прямые ссылки; доступ проверен 29 августа 2026 г.</w:t>
      </w:r>
    </w:p>
    <w:p>
      <w:pPr>
        <w:pStyle w:val="Source"/>
        <w:spacing w:after="60"/>
      </w:pPr>
      <w:hyperlink r:id="rId12">
        <w:r>
          <w:rPr>
            <w:color w:val="2E74B5"/>
            <w:u w:val="single"/>
          </w:rPr>
          <w:t>WMO — State of the Global Climate 2025</w:t>
        </w:r>
      </w:hyperlink>
    </w:p>
    <w:p>
      <w:pPr>
        <w:pStyle w:val="Source"/>
        <w:spacing w:after="60"/>
      </w:pPr>
      <w:hyperlink r:id="rId13">
        <w:r>
          <w:rPr>
            <w:color w:val="2E74B5"/>
            <w:u w:val="single"/>
          </w:rPr>
          <w:t>WMO — Global Status of Multi-Hazard Early Warning Systems 2025</w:t>
        </w:r>
      </w:hyperlink>
    </w:p>
    <w:p>
      <w:pPr>
        <w:pStyle w:val="Source"/>
        <w:spacing w:after="60"/>
      </w:pPr>
      <w:hyperlink r:id="rId14">
        <w:r>
          <w:rPr>
            <w:color w:val="2E74B5"/>
            <w:u w:val="single"/>
          </w:rPr>
          <w:t>WMO — Early Warnings for All</w:t>
        </w:r>
      </w:hyperlink>
    </w:p>
    <w:p>
      <w:pPr>
        <w:pStyle w:val="Source"/>
        <w:spacing w:after="60"/>
      </w:pPr>
      <w:hyperlink r:id="rId15">
        <w:r>
          <w:rPr>
            <w:color w:val="2E74B5"/>
            <w:u w:val="single"/>
          </w:rPr>
          <w:t>GEO — Global Earth Observation System of Systems</w:t>
        </w:r>
      </w:hyperlink>
    </w:p>
    <w:p>
      <w:pPr>
        <w:pStyle w:val="Source"/>
        <w:spacing w:after="60"/>
      </w:pPr>
      <w:hyperlink r:id="rId16">
        <w:r>
          <w:rPr>
            <w:color w:val="2E74B5"/>
            <w:u w:val="single"/>
          </w:rPr>
          <w:t>WHO — One Health</w:t>
        </w:r>
      </w:hyperlink>
    </w:p>
    <w:p>
      <w:pPr>
        <w:pStyle w:val="Source"/>
        <w:spacing w:after="60"/>
      </w:pPr>
      <w:hyperlink r:id="rId17">
        <w:r>
          <w:rPr>
            <w:color w:val="2E74B5"/>
            <w:u w:val="single"/>
          </w:rPr>
          <w:t>FAO — Global Soil Biodiversity Observatory</w:t>
        </w:r>
      </w:hyperlink>
    </w:p>
    <w:p>
      <w:pPr>
        <w:pStyle w:val="Source"/>
        <w:spacing w:after="60"/>
      </w:pPr>
      <w:hyperlink r:id="rId18">
        <w:r>
          <w:rPr>
            <w:color w:val="2E74B5"/>
            <w:u w:val="single"/>
          </w:rPr>
          <w:t>UN — SEEA Ecosystem Accounting</w:t>
        </w:r>
      </w:hyperlink>
    </w:p>
    <w:p>
      <w:pPr>
        <w:pStyle w:val="Source"/>
        <w:spacing w:after="60"/>
      </w:pPr>
      <w:hyperlink r:id="rId19">
        <w:r>
          <w:rPr>
            <w:color w:val="2E74B5"/>
            <w:u w:val="single"/>
          </w:rPr>
          <w:t>IPBES — Nexus Assessment</w:t>
        </w:r>
      </w:hyperlink>
    </w:p>
    <w:p>
      <w:pPr>
        <w:pStyle w:val="Source"/>
        <w:spacing w:after="60"/>
      </w:pPr>
      <w:hyperlink r:id="rId20">
        <w:r>
          <w:rPr>
            <w:color w:val="2E74B5"/>
            <w:u w:val="single"/>
          </w:rPr>
          <w:t>NGFS — 2026 Nature Package</w:t>
        </w:r>
      </w:hyperlink>
    </w:p>
    <w:p>
      <w:pPr>
        <w:pStyle w:val="Source"/>
        <w:spacing w:after="60"/>
      </w:pPr>
      <w:hyperlink r:id="rId21">
        <w:r>
          <w:rPr>
            <w:color w:val="2E74B5"/>
            <w:u w:val="single"/>
          </w:rPr>
          <w:t>TNFD — Recommendations</w:t>
        </w:r>
      </w:hyperlink>
    </w:p>
    <w:p>
      <w:pPr>
        <w:pStyle w:val="Source"/>
        <w:spacing w:after="60"/>
      </w:pPr>
      <w:hyperlink r:id="rId22">
        <w:r>
          <w:rPr>
            <w:color w:val="2E74B5"/>
            <w:u w:val="single"/>
          </w:rPr>
          <w:t>BIS — Annual Economic Report 2026, monetary architecture</w:t>
        </w:r>
      </w:hyperlink>
    </w:p>
    <w:p>
      <w:pPr>
        <w:pStyle w:val="Source"/>
        <w:spacing w:after="60"/>
      </w:pPr>
      <w:hyperlink r:id="rId23">
        <w:r>
          <w:rPr>
            <w:color w:val="2E74B5"/>
            <w:u w:val="single"/>
          </w:rPr>
          <w:t>CBD — Kunming–Montreal Global Biodiversity Framework, Target 19</w:t>
        </w:r>
      </w:hyperlink>
    </w:p>
    <w:p>
      <w:pPr>
        <w:pStyle w:val="Source"/>
        <w:spacing w:after="60"/>
      </w:pPr>
      <w:hyperlink r:id="rId24">
        <w:r>
          <w:rPr>
            <w:color w:val="2E74B5"/>
            <w:u w:val="single"/>
          </w:rPr>
          <w:t>IFRS Foundation — biodiversity, ecosystems and ecosystem services project</w:t>
        </w:r>
      </w:hyperlink>
    </w:p>
    <w:p>
      <w:pPr>
        <w:pStyle w:val="Source"/>
        <w:spacing w:after="60"/>
      </w:pPr>
      <w:hyperlink r:id="rId25">
        <w:r>
          <w:rPr>
            <w:color w:val="2E74B5"/>
            <w:u w:val="single"/>
          </w:rPr>
          <w:t>ISO — ISO 14721:2025, OAIS reference model</w:t>
        </w:r>
      </w:hyperlink>
    </w:p>
    <w:p>
      <w:pPr>
        <w:pStyle w:val="Source"/>
        <w:spacing w:after="60"/>
      </w:pPr>
      <w:hyperlink r:id="rId26">
        <w:r>
          <w:rPr>
            <w:color w:val="2E74B5"/>
            <w:u w:val="single"/>
          </w:rPr>
          <w:t>Library of Congress — PREMIS Data Dictionary</w:t>
        </w:r>
      </w:hyperlink>
    </w:p>
    <w:p>
      <w:pPr>
        <w:pStyle w:val="Source"/>
        <w:spacing w:after="60"/>
      </w:pPr>
      <w:hyperlink r:id="rId27">
        <w:r>
          <w:rPr>
            <w:color w:val="2E74B5"/>
            <w:u w:val="single"/>
          </w:rPr>
          <w:t>W3C — PROV-O: The PROV Ontology</w:t>
        </w:r>
      </w:hyperlink>
    </w:p>
    <w:p>
      <w:pPr>
        <w:pStyle w:val="Source"/>
        <w:spacing w:after="60"/>
      </w:pPr>
      <w:hyperlink r:id="rId28">
        <w:r>
          <w:rPr>
            <w:color w:val="2E74B5"/>
            <w:u w:val="single"/>
          </w:rPr>
          <w:t>ISO — ISO/IEC 17029:2019, validation and verification principles</w:t>
        </w:r>
      </w:hyperlink>
    </w:p>
    <w:p>
      <w:pPr>
        <w:pStyle w:val="Source"/>
        <w:spacing w:after="60"/>
      </w:pPr>
      <w:hyperlink r:id="rId29">
        <w:r>
          <w:rPr>
            <w:color w:val="2E74B5"/>
            <w:u w:val="single"/>
          </w:rPr>
          <w:t>CBD — Nagoya Protocol</w:t>
        </w:r>
      </w:hyperlink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Правила интерпретации</w:t>
        <w:br/>
      </w:r>
      <w:r>
        <w:rPr>
          <w:rFonts w:ascii="Calibri" w:hAnsi="Calibri" w:eastAsia="Calibri"/>
          <w:color w:val="172033"/>
          <w:sz w:val="21"/>
        </w:rPr>
        <w:t>OAIS является референсной моделью, а не готовой ИТ-системой. TNFD, SEEA EA и иные рамки используются как ориентиры совместимости в пределах их назначения. Ни одна ссылка не означает сертификации предлагаемой архитектуры или обязательности для конкретной юрисдикции.</w:t>
      </w:r>
    </w:p>
    <w:p>
      <w:pPr>
        <w:pStyle w:val="Small"/>
        <w:jc w:val="center"/>
      </w:pPr>
      <w:r>
        <w:t>Соколов Сергей Леонидович  ·  ЭКВИЛИБРИУМ — СФЕРА — ECO-PPA — СПЕЦЗАЩИТА — Архив наследия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5E6878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jc w:val="left"/>
    </w:pPr>
    <w:r>
      <w:t>ДИНАМИЧЕСКАЯ МОДЕЛЬ БИОСФЕРЫ  /  ДОКАЗАТЕЛЬНОЕ ФИНАНСИРОВАНИЕ  /  АРХИВ НАСЛЕДИЯ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61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1">
    <w:abstractNumId w:val="61"/>
  </w:num>
  <w:abstractNum w:abstractNumId="62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2">
    <w:abstractNumId w:val="62"/>
  </w:num>
  <w:abstractNum w:abstractNumId="63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3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76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B2545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 w:line="276" w:lineRule="auto"/>
    </w:pPr>
    <w:rPr>
      <w:rFonts w:asciiTheme="majorHAnsi" w:eastAsiaTheme="majorEastAsia" w:hAnsiTheme="majorHAnsi" w:cstheme="majorBidi" w:ascii="Calibri" w:hAnsi="Calibri"/>
      <w:b w:val="0"/>
      <w:i w:val="0"/>
      <w:iCs/>
      <w:color w:val="5E687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spacing w:after="120" w:line="276" w:lineRule="auto"/>
      <w:jc w:val="left"/>
    </w:pPr>
    <w:rPr>
      <w:rFonts w:ascii="Calibri" w:hAnsi="Calibri"/>
      <w:b/>
      <w:i w:val="0"/>
      <w:color w:val="2E74B5"/>
      <w:sz w:val="18"/>
    </w:rPr>
  </w:style>
  <w:style w:type="paragraph" w:customStyle="1" w:styleId="Lead">
    <w:name w:val="Lead"/>
    <w:pPr>
      <w:spacing w:after="200" w:line="276" w:lineRule="auto"/>
      <w:jc w:val="left"/>
    </w:pPr>
    <w:rPr>
      <w:rFonts w:ascii="Calibri" w:hAnsi="Calibri"/>
      <w:b w:val="0"/>
      <w:i w:val="0"/>
      <w:color w:val="172033"/>
      <w:sz w:val="25"/>
    </w:rPr>
  </w:style>
  <w:style w:type="paragraph" w:customStyle="1" w:styleId="Callout">
    <w:name w:val="Callout"/>
    <w:pPr>
      <w:spacing w:after="160" w:line="276" w:lineRule="auto"/>
      <w:jc w:val="left"/>
    </w:pPr>
    <w:rPr>
      <w:rFonts w:ascii="Calibri" w:hAnsi="Calibri"/>
      <w:b w:val="0"/>
      <w:i w:val="0"/>
      <w:color w:val="0B2545"/>
      <w:sz w:val="22"/>
    </w:rPr>
  </w:style>
  <w:style w:type="paragraph" w:customStyle="1" w:styleId="Small">
    <w:name w:val="Small"/>
    <w:pPr>
      <w:spacing w:after="80" w:line="276" w:lineRule="auto"/>
      <w:jc w:val="left"/>
    </w:pPr>
    <w:rPr>
      <w:rFonts w:ascii="Calibri" w:hAnsi="Calibri"/>
      <w:b w:val="0"/>
      <w:i w:val="0"/>
      <w:color w:val="5E6878"/>
      <w:sz w:val="17"/>
    </w:rPr>
  </w:style>
  <w:style w:type="paragraph" w:customStyle="1" w:styleId="Source">
    <w:name w:val="Source"/>
    <w:pPr>
      <w:spacing w:after="60" w:line="276" w:lineRule="auto"/>
      <w:jc w:val="left"/>
    </w:pPr>
    <w:rPr>
      <w:rFonts w:ascii="Calibri" w:hAnsi="Calibri"/>
      <w:b w:val="0"/>
      <w:i w:val="0"/>
      <w:color w:val="5E6878"/>
      <w:sz w:val="16"/>
    </w:rPr>
  </w:style>
  <w:style w:type="paragraph" w:customStyle="1" w:styleId="Definition">
    <w:name w:val="Definition"/>
    <w:pPr>
      <w:spacing w:after="80" w:line="276" w:lineRule="auto"/>
      <w:jc w:val="left"/>
    </w:pPr>
    <w:rPr>
      <w:rFonts w:ascii="Calibri" w:hAnsi="Calibri"/>
      <w:b w:val="0"/>
      <w:i w:val="0"/>
      <w:color w:val="172033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mo.int/publication-series/state-of-global-climate/state-of-global-climate-2025" TargetMode="External"/><Relationship Id="rId13" Type="http://schemas.openxmlformats.org/officeDocument/2006/relationships/hyperlink" Target="https://wmo.int/resources/publication-series/global-status-of-multi-hazard-early-warning-systems/global-status-of-multi-hazard-early-warning-systems-2025" TargetMode="External"/><Relationship Id="rId14" Type="http://schemas.openxmlformats.org/officeDocument/2006/relationships/hyperlink" Target="https://wmo.int/activities/early-warnings-all/wmo-and-early-warnings-all-initiative" TargetMode="External"/><Relationship Id="rId15" Type="http://schemas.openxmlformats.org/officeDocument/2006/relationships/hyperlink" Target="https://www.earthobservations.org/geoss.php" TargetMode="External"/><Relationship Id="rId16" Type="http://schemas.openxmlformats.org/officeDocument/2006/relationships/hyperlink" Target="https://www.who.int/news-room/fact-sheets/detail/one-health" TargetMode="External"/><Relationship Id="rId17" Type="http://schemas.openxmlformats.org/officeDocument/2006/relationships/hyperlink" Target="https://www.fao.org/newsroom/detail/global-soil-biodiversity-observatory-begins-to-take-concrete-shape-to-protect-life-below-ground/en" TargetMode="External"/><Relationship Id="rId18" Type="http://schemas.openxmlformats.org/officeDocument/2006/relationships/hyperlink" Target="https://seea.un.org/en/methodology/ecosystem-accounting" TargetMode="External"/><Relationship Id="rId19" Type="http://schemas.openxmlformats.org/officeDocument/2006/relationships/hyperlink" Target="https://ict.ipbes.net/ipbes-ict-guide/data-and-knowledge-management/citations-of-ipbes-assessments/nexus-assessment" TargetMode="External"/><Relationship Id="rId20" Type="http://schemas.openxmlformats.org/officeDocument/2006/relationships/hyperlink" Target="https://www.ngfs.net/en/publications-and-statistics/publications/ngfs-2026-nature-package" TargetMode="External"/><Relationship Id="rId21" Type="http://schemas.openxmlformats.org/officeDocument/2006/relationships/hyperlink" Target="https://tnfd.global/recommendations/" TargetMode="External"/><Relationship Id="rId22" Type="http://schemas.openxmlformats.org/officeDocument/2006/relationships/hyperlink" Target="https://www.bis.org/publ/arpdf/ar2026e3.htm" TargetMode="External"/><Relationship Id="rId23" Type="http://schemas.openxmlformats.org/officeDocument/2006/relationships/hyperlink" Target="https://www.cbd.int/gbf/targets/19" TargetMode="External"/><Relationship Id="rId24" Type="http://schemas.openxmlformats.org/officeDocument/2006/relationships/hyperlink" Target="https://www.ifrs.org/projects/work-plan/biodiversity-ecosystems-and-ecosystem-services/" TargetMode="External"/><Relationship Id="rId25" Type="http://schemas.openxmlformats.org/officeDocument/2006/relationships/hyperlink" Target="https://www.iso.org/standard/87471.html" TargetMode="External"/><Relationship Id="rId26" Type="http://schemas.openxmlformats.org/officeDocument/2006/relationships/hyperlink" Target="https://www.loc.gov/standards/premis/" TargetMode="External"/><Relationship Id="rId27" Type="http://schemas.openxmlformats.org/officeDocument/2006/relationships/hyperlink" Target="https://www.w3.org/TR/prov-o/" TargetMode="External"/><Relationship Id="rId28" Type="http://schemas.openxmlformats.org/officeDocument/2006/relationships/hyperlink" Target="https://www.iso.org/standard/29352.html" TargetMode="External"/><Relationship Id="rId29" Type="http://schemas.openxmlformats.org/officeDocument/2006/relationships/hyperlink" Target="https://www.cbd.int/abs/tex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Динамическая модель биосферы и Новая Мировая финансовая система — Архив наследия</dc:title>
  <dc:subject>Доказательный контур финансирования восстановления биосферы с Архивом наследия</dc:subject>
  <dc:creator>Соколов Сергей Леонидович</dc:creator>
  <cp:keywords>биосфера, ЭКВИЛИБРИУМ, СФЕРА, ECO-PPA, СПЕЦЗАЩИТА, Архив наследия, доказательное финансирование, OAIS, PREMIS, PROV-O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