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left"/>
      </w:pPr>
      <w:r>
        <w:rPr>
          <w:rFonts w:ascii="Calibri" w:hAnsi="Calibri" w:eastAsia="Calibri"/>
          <w:b/>
          <w:color w:val="2F5E8E"/>
          <w:sz w:val="20"/>
        </w:rPr>
        <w:t>ЭКВИЛИБРИУМ</w:t>
      </w:r>
    </w:p>
    <w:p>
      <w:pPr>
        <w:spacing w:after="600"/>
      </w:pPr>
    </w:p>
    <w:p>
      <w:pPr>
        <w:spacing w:after="300"/>
        <w:jc w:val="left"/>
      </w:pPr>
      <w:r>
        <w:rPr>
          <w:rFonts w:ascii="Calibri" w:hAnsi="Calibri" w:eastAsia="Calibri"/>
          <w:b/>
          <w:color w:val="1D3552"/>
          <w:sz w:val="60"/>
        </w:rPr>
        <w:t>Человек.</w:t>
        <w:br/>
        <w:t>Культура и</w:t>
        <w:br/>
        <w:t>мировые балансы</w:t>
      </w:r>
    </w:p>
    <w:p>
      <w:pPr>
        <w:spacing w:after="680"/>
        <w:jc w:val="left"/>
      </w:pPr>
      <w:r>
        <w:rPr>
          <w:rFonts w:ascii="Calibri" w:hAnsi="Calibri" w:eastAsia="Calibri"/>
          <w:color w:val="5D6A78"/>
          <w:sz w:val="30"/>
        </w:rPr>
        <w:t>Методология человекоцентричного управления</w:t>
        <w:br/>
        <w:t>устойчивостью развития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90" w:type="dxa"/>
              <w:start w:w="100" w:type="dxa"/>
              <w:bottom w:w="90" w:type="dxa"/>
              <w:end w:w="100" w:type="dxa"/>
            </w:tcMar>
            <w:shd w:fill="EEF5FC"/>
            <w:vAlign w:val="center"/>
          </w:tcPr>
          <w:p>
            <w:pPr>
              <w:jc w:val="left"/>
            </w:pPr>
            <w:r>
              <w:rPr>
                <w:rFonts w:ascii="Calibri" w:hAnsi="Calibri" w:eastAsia="Calibri"/>
                <w:b/>
                <w:color w:val="2F5E8E"/>
                <w:sz w:val="18"/>
              </w:rPr>
              <w:t>ЧЕЛОВЕК</w:t>
              <w:br/>
            </w:r>
            <w:r>
              <w:rPr>
                <w:rFonts w:ascii="Calibri" w:hAnsi="Calibri" w:eastAsia="Calibri"/>
                <w:b/>
                <w:color w:val="1D2733"/>
                <w:sz w:val="22"/>
              </w:rPr>
              <w:t>мера результата</w:t>
            </w:r>
          </w:p>
        </w:tc>
        <w:tc>
          <w:tcPr>
            <w:tcW w:type="dxa" w:w="3120"/>
            <w:tcMar>
              <w:top w:w="90" w:type="dxa"/>
              <w:start w:w="100" w:type="dxa"/>
              <w:bottom w:w="90" w:type="dxa"/>
              <w:end w:w="100" w:type="dxa"/>
            </w:tcMar>
            <w:shd w:fill="F4F6F9"/>
            <w:vAlign w:val="center"/>
          </w:tcPr>
          <w:p>
            <w:pPr>
              <w:jc w:val="left"/>
            </w:pPr>
            <w:r>
              <w:rPr>
                <w:rFonts w:ascii="Calibri" w:hAnsi="Calibri" w:eastAsia="Calibri"/>
                <w:b/>
                <w:color w:val="2F5E8E"/>
                <w:sz w:val="18"/>
              </w:rPr>
              <w:t>КУЛЬТУРА</w:t>
              <w:br/>
            </w:r>
            <w:r>
              <w:rPr>
                <w:rFonts w:ascii="Calibri" w:hAnsi="Calibri" w:eastAsia="Calibri"/>
                <w:b/>
                <w:color w:val="1D2733"/>
                <w:sz w:val="22"/>
              </w:rPr>
              <w:t>механизм связности</w:t>
            </w:r>
          </w:p>
        </w:tc>
        <w:tc>
          <w:tcPr>
            <w:tcW w:type="dxa" w:w="3120"/>
            <w:tcMar>
              <w:top w:w="90" w:type="dxa"/>
              <w:start w:w="100" w:type="dxa"/>
              <w:bottom w:w="90" w:type="dxa"/>
              <w:end w:w="100" w:type="dxa"/>
            </w:tcMar>
            <w:shd w:fill="EEF5FC"/>
            <w:vAlign w:val="center"/>
          </w:tcPr>
          <w:p>
            <w:pPr>
              <w:jc w:val="left"/>
            </w:pPr>
            <w:r>
              <w:rPr>
                <w:rFonts w:ascii="Calibri" w:hAnsi="Calibri" w:eastAsia="Calibri"/>
                <w:b/>
                <w:color w:val="2F5E8E"/>
                <w:sz w:val="18"/>
              </w:rPr>
              <w:t>БАЛАНСЫ</w:t>
              <w:br/>
            </w:r>
            <w:r>
              <w:rPr>
                <w:rFonts w:ascii="Calibri" w:hAnsi="Calibri" w:eastAsia="Calibri"/>
                <w:b/>
                <w:color w:val="1D2733"/>
                <w:sz w:val="22"/>
              </w:rPr>
              <w:t>контур управления</w:t>
            </w:r>
          </w:p>
        </w:tc>
      </w:tr>
    </w:tbl>
    <w:p>
      <w:pPr>
        <w:spacing w:after="960"/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420"/>
        <w:gridCol w:w="7940"/>
      </w:tblGrid>
      <w:tr>
        <w:tc>
          <w:tcPr>
            <w:tcW w:type="dxa" w:w="142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</w:tcPr>
          <w:p>
            <w:pPr>
              <w:jc w:val="left"/>
            </w:pPr>
            <w:r>
              <w:rPr>
                <w:b/>
                <w:color w:val="FFFFFF"/>
                <w:sz w:val="18"/>
              </w:rPr>
              <w:t>СТАТУС</w:t>
            </w:r>
          </w:p>
        </w:tc>
        <w:tc>
          <w:tcPr>
            <w:tcW w:type="dxa" w:w="7940"/>
            <w:tcMar>
              <w:top w:w="90" w:type="dxa"/>
              <w:start w:w="100" w:type="dxa"/>
              <w:bottom w:w="90" w:type="dxa"/>
              <w:end w:w="100" w:type="dxa"/>
            </w:tcMar>
            <w:shd w:fill="EEF5FC"/>
          </w:tcPr>
          <w:p>
            <w:pPr>
              <w:jc w:val="left"/>
            </w:pPr>
            <w:r>
              <w:rPr>
                <w:b w:val="0"/>
                <w:color w:val="1D2733"/>
                <w:sz w:val="20"/>
              </w:rPr>
              <w:t>Проект методологического доклада для экспертной и управленческой апробации. Не является утвержденным стандартом или международно признанным индексом.</w:t>
            </w:r>
          </w:p>
        </w:tc>
      </w:tr>
    </w:tbl>
    <w:p>
      <w:pPr>
        <w:spacing w:after="0"/>
      </w:pPr>
    </w:p>
    <w:p>
      <w:pPr>
        <w:spacing w:before="360" w:after="0"/>
        <w:jc w:val="left"/>
      </w:pPr>
      <w:r>
        <w:rPr>
          <w:rFonts w:ascii="Calibri" w:hAnsi="Calibri" w:eastAsia="Calibri"/>
          <w:color w:val="5D6A78"/>
          <w:sz w:val="18"/>
        </w:rPr>
        <w:t>Версия 1.0  •  27 августа 2026 года</w:t>
      </w:r>
    </w:p>
    <w:p>
      <w:pPr>
        <w:pageBreakBefore/>
        <w:spacing w:before="0" w:after="0" w:line="20" w:lineRule="exact"/>
      </w:pPr>
      <w:r>
        <w:rPr>
          <w:color w:val="FFFFFF"/>
          <w:sz w:val="2"/>
        </w:rPr>
        <w:t>​</w:t>
      </w:r>
    </w:p>
    <w:p>
      <w:pPr>
        <w:pStyle w:val="Heading1"/>
      </w:pPr>
      <w:r>
        <w:t xml:space="preserve">  Содержание и логика документа</w:t>
      </w:r>
    </w:p>
    <w:p>
      <w:pPr>
        <w:pStyle w:val="Subtitle"/>
      </w:pPr>
      <w:r>
        <w:t>От диагноза к управляемому циклу решений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920"/>
        <w:gridCol w:w="3550"/>
        <w:gridCol w:w="4890"/>
      </w:tblGrid>
      <w:tr>
        <w:trPr>
          <w:tblHeader w:val="true"/>
          <w:cantSplit/>
        </w:trPr>
        <w:tc>
          <w:tcPr>
            <w:tcW w:type="dxa" w:w="92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Раздел</w:t>
            </w:r>
          </w:p>
        </w:tc>
        <w:tc>
          <w:tcPr>
            <w:tcW w:type="dxa" w:w="355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Тема</w:t>
            </w:r>
          </w:p>
        </w:tc>
        <w:tc>
          <w:tcPr>
            <w:tcW w:type="dxa" w:w="489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Результат</w:t>
            </w:r>
          </w:p>
        </w:tc>
      </w:tr>
      <w:tr>
        <w:trPr>
          <w:cantSplit/>
        </w:trPr>
        <w:tc>
          <w:tcPr>
            <w:tcW w:type="dxa" w:w="92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8"/>
              </w:rPr>
              <w:t>1</w:t>
            </w:r>
          </w:p>
        </w:tc>
        <w:tc>
          <w:tcPr>
            <w:tcW w:type="dxa" w:w="35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8"/>
              </w:rPr>
              <w:t>Управленческое резюме</w:t>
            </w:r>
          </w:p>
        </w:tc>
        <w:tc>
          <w:tcPr>
            <w:tcW w:type="dxa" w:w="489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8"/>
              </w:rPr>
              <w:t>что предлагается утвердить и зачем</w:t>
            </w:r>
          </w:p>
        </w:tc>
      </w:tr>
      <w:tr>
        <w:trPr>
          <w:cantSplit/>
        </w:trPr>
        <w:tc>
          <w:tcPr>
            <w:tcW w:type="dxa" w:w="92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8"/>
              </w:rPr>
              <w:t>2</w:t>
            </w:r>
          </w:p>
        </w:tc>
        <w:tc>
          <w:tcPr>
            <w:tcW w:type="dxa" w:w="35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8"/>
              </w:rPr>
              <w:t>Мировая ситуация</w:t>
            </w:r>
          </w:p>
        </w:tc>
        <w:tc>
          <w:tcPr>
            <w:tcW w:type="dxa" w:w="489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8"/>
              </w:rPr>
              <w:t>факты, показывающие связанность дисбалансов</w:t>
            </w:r>
          </w:p>
        </w:tc>
      </w:tr>
      <w:tr>
        <w:trPr>
          <w:cantSplit/>
        </w:trPr>
        <w:tc>
          <w:tcPr>
            <w:tcW w:type="dxa" w:w="92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8"/>
              </w:rPr>
              <w:t>3</w:t>
            </w:r>
          </w:p>
        </w:tc>
        <w:tc>
          <w:tcPr>
            <w:tcW w:type="dxa" w:w="35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8"/>
              </w:rPr>
              <w:t>Основные понятия</w:t>
            </w:r>
          </w:p>
        </w:tc>
        <w:tc>
          <w:tcPr>
            <w:tcW w:type="dxa" w:w="489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8"/>
              </w:rPr>
              <w:t>человек, культура и динамический баланс</w:t>
            </w:r>
          </w:p>
        </w:tc>
      </w:tr>
      <w:tr>
        <w:trPr>
          <w:cantSplit/>
        </w:trPr>
        <w:tc>
          <w:tcPr>
            <w:tcW w:type="dxa" w:w="92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8"/>
              </w:rPr>
              <w:t>4</w:t>
            </w:r>
          </w:p>
        </w:tc>
        <w:tc>
          <w:tcPr>
            <w:tcW w:type="dxa" w:w="35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8"/>
              </w:rPr>
              <w:t>Архитектура 19 балансов</w:t>
            </w:r>
          </w:p>
        </w:tc>
        <w:tc>
          <w:tcPr>
            <w:tcW w:type="dxa" w:w="489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8"/>
              </w:rPr>
              <w:t>пять групп и пять уровней рассмотрения</w:t>
            </w:r>
          </w:p>
        </w:tc>
      </w:tr>
      <w:tr>
        <w:trPr>
          <w:cantSplit/>
        </w:trPr>
        <w:tc>
          <w:tcPr>
            <w:tcW w:type="dxa" w:w="92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8"/>
              </w:rPr>
              <w:t>5</w:t>
            </w:r>
          </w:p>
        </w:tc>
        <w:tc>
          <w:tcPr>
            <w:tcW w:type="dxa" w:w="35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8"/>
              </w:rPr>
              <w:t>Причинная модель</w:t>
            </w:r>
          </w:p>
        </w:tc>
        <w:tc>
          <w:tcPr>
            <w:tcW w:type="dxa" w:w="489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8"/>
              </w:rPr>
              <w:t>петли усиления, каскады и слабые звенья</w:t>
            </w:r>
          </w:p>
        </w:tc>
      </w:tr>
      <w:tr>
        <w:trPr>
          <w:cantSplit/>
        </w:trPr>
        <w:tc>
          <w:tcPr>
            <w:tcW w:type="dxa" w:w="92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8"/>
              </w:rPr>
              <w:t>6</w:t>
            </w:r>
          </w:p>
        </w:tc>
        <w:tc>
          <w:tcPr>
            <w:tcW w:type="dxa" w:w="35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8"/>
              </w:rPr>
              <w:t>Измерение</w:t>
            </w:r>
          </w:p>
        </w:tc>
        <w:tc>
          <w:tcPr>
            <w:tcW w:type="dxa" w:w="489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8"/>
              </w:rPr>
              <w:t>от открытой панели к экспериментальному индексу</w:t>
            </w:r>
          </w:p>
        </w:tc>
      </w:tr>
      <w:tr>
        <w:trPr>
          <w:cantSplit/>
        </w:trPr>
        <w:tc>
          <w:tcPr>
            <w:tcW w:type="dxa" w:w="92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8"/>
              </w:rPr>
              <w:t>7</w:t>
            </w:r>
          </w:p>
        </w:tc>
        <w:tc>
          <w:tcPr>
            <w:tcW w:type="dxa" w:w="35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8"/>
              </w:rPr>
              <w:t>Контур управления</w:t>
            </w:r>
          </w:p>
        </w:tc>
        <w:tc>
          <w:tcPr>
            <w:tcW w:type="dxa" w:w="489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8"/>
              </w:rPr>
              <w:t>данные, решения, участие, финансирование, реализация</w:t>
            </w:r>
          </w:p>
        </w:tc>
      </w:tr>
      <w:tr>
        <w:trPr>
          <w:cantSplit/>
        </w:trPr>
        <w:tc>
          <w:tcPr>
            <w:tcW w:type="dxa" w:w="92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8"/>
              </w:rPr>
              <w:t>8</w:t>
            </w:r>
          </w:p>
        </w:tc>
        <w:tc>
          <w:tcPr>
            <w:tcW w:type="dxa" w:w="35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8"/>
              </w:rPr>
              <w:t>Пилот и масштабирование</w:t>
            </w:r>
          </w:p>
        </w:tc>
        <w:tc>
          <w:tcPr>
            <w:tcW w:type="dxa" w:w="489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8"/>
              </w:rPr>
              <w:t>12- и 24-месячные маршруты</w:t>
            </w:r>
          </w:p>
        </w:tc>
      </w:tr>
      <w:tr>
        <w:trPr>
          <w:cantSplit/>
        </w:trPr>
        <w:tc>
          <w:tcPr>
            <w:tcW w:type="dxa" w:w="92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8"/>
              </w:rPr>
              <w:t>9</w:t>
            </w:r>
          </w:p>
        </w:tc>
        <w:tc>
          <w:tcPr>
            <w:tcW w:type="dxa" w:w="35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8"/>
              </w:rPr>
              <w:t>Ограничения и защита</w:t>
            </w:r>
          </w:p>
        </w:tc>
        <w:tc>
          <w:tcPr>
            <w:tcW w:type="dxa" w:w="489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8"/>
              </w:rPr>
              <w:t>доказательность, права, приватность, независимая проверка</w:t>
            </w:r>
          </w:p>
        </w:tc>
      </w:tr>
      <w:tr>
        <w:trPr>
          <w:cantSplit/>
        </w:trPr>
        <w:tc>
          <w:tcPr>
            <w:tcW w:type="dxa" w:w="92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8"/>
              </w:rPr>
              <w:t>10</w:t>
            </w:r>
          </w:p>
        </w:tc>
        <w:tc>
          <w:tcPr>
            <w:tcW w:type="dxa" w:w="35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8"/>
              </w:rPr>
              <w:t>Решения</w:t>
            </w:r>
          </w:p>
        </w:tc>
        <w:tc>
          <w:tcPr>
            <w:tcW w:type="dxa" w:w="489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8"/>
              </w:rPr>
              <w:t>мандат, заказчик, территория и критерии перехода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420"/>
        <w:gridCol w:w="7940"/>
      </w:tblGrid>
      <w:tr>
        <w:tc>
          <w:tcPr>
            <w:tcW w:type="dxa" w:w="142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</w:tcPr>
          <w:p>
            <w:pPr>
              <w:jc w:val="left"/>
            </w:pPr>
            <w:r>
              <w:rPr>
                <w:b/>
                <w:color w:val="FFFFFF"/>
                <w:sz w:val="18"/>
              </w:rPr>
              <w:t>КЛЮЧ</w:t>
            </w:r>
          </w:p>
        </w:tc>
        <w:tc>
          <w:tcPr>
            <w:tcW w:type="dxa" w:w="7940"/>
            <w:tcMar>
              <w:top w:w="90" w:type="dxa"/>
              <w:start w:w="100" w:type="dxa"/>
              <w:bottom w:w="90" w:type="dxa"/>
              <w:end w:w="100" w:type="dxa"/>
            </w:tcMar>
            <w:shd w:fill="EEF5FC"/>
          </w:tcPr>
          <w:p>
            <w:pPr>
              <w:jc w:val="left"/>
            </w:pPr>
            <w:r>
              <w:rPr>
                <w:b w:val="0"/>
                <w:color w:val="1D2733"/>
                <w:sz w:val="20"/>
              </w:rPr>
              <w:t>Документ различает данные [Д], расчеты [Р], сценарии [С], экспертные оценки [Э] и нормативные предложения [Н]. Это предотвращает смешение наблюдаемого, вычисленного и желаемого.</w:t>
            </w:r>
          </w:p>
        </w:tc>
      </w:tr>
    </w:tbl>
    <w:p>
      <w:pPr>
        <w:spacing w:after="0"/>
      </w:pPr>
    </w:p>
    <w:p>
      <w:pPr>
        <w:pageBreakBefore/>
        <w:spacing w:before="0" w:after="0" w:line="20" w:lineRule="exact"/>
      </w:pPr>
      <w:r>
        <w:rPr>
          <w:color w:val="FFFFFF"/>
          <w:sz w:val="2"/>
        </w:rPr>
        <w:t>​</w:t>
      </w:r>
    </w:p>
    <w:p>
      <w:pPr>
        <w:pStyle w:val="Heading1"/>
      </w:pPr>
      <w:r>
        <w:t>1  Управленческое резюме</w:t>
      </w:r>
    </w:p>
    <w:p>
      <w:pPr>
        <w:pStyle w:val="Subtitle"/>
      </w:pPr>
      <w:r>
        <w:t>Единый язык для решений, затрагивающих человека, культуру и мировые системы</w:t>
      </w:r>
    </w:p>
    <w:p>
      <w:r>
        <w:t>Современные кризисы редко остаются в пределах одной отрасли. Дефицит воды меняет здоровье, миграцию и доверие; образовательное исключение снижает инновационность и усиливает неравенство; потеря культурной связности ускоряет поляризацию и делает институты менее дееспособными. Отраслевые показатели важны, но не показывают цену решения для всей системы.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420"/>
        <w:gridCol w:w="7940"/>
      </w:tblGrid>
      <w:tr>
        <w:tc>
          <w:tcPr>
            <w:tcW w:type="dxa" w:w="142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</w:tcPr>
          <w:p>
            <w:pPr>
              <w:jc w:val="left"/>
            </w:pPr>
            <w:r>
              <w:rPr>
                <w:b/>
                <w:color w:val="FFFFFF"/>
                <w:sz w:val="18"/>
              </w:rPr>
              <w:t>ТЕЗИС</w:t>
            </w:r>
          </w:p>
        </w:tc>
        <w:tc>
          <w:tcPr>
            <w:tcW w:type="dxa" w:w="7940"/>
            <w:tcMar>
              <w:top w:w="90" w:type="dxa"/>
              <w:start w:w="100" w:type="dxa"/>
              <w:bottom w:w="90" w:type="dxa"/>
              <w:end w:w="100" w:type="dxa"/>
            </w:tcMar>
            <w:shd w:fill="EEF5FC"/>
          </w:tcPr>
          <w:p>
            <w:pPr>
              <w:jc w:val="left"/>
            </w:pPr>
            <w:r>
              <w:rPr>
                <w:b w:val="0"/>
                <w:color w:val="1D2733"/>
                <w:sz w:val="20"/>
              </w:rPr>
              <w:t>Человек — субъект, носитель достоинства и конечный получатель результатов развития; культура — система воспроизводства ценностей, знаний, норм, доверия и созидательных практик; мировые балансы — динамическое согласование потребностей, ресурсов, возможностей, рисков и ответственности между поколениями, территориями и государствами.</w:t>
            </w:r>
          </w:p>
        </w:tc>
      </w:tr>
    </w:tbl>
    <w:p>
      <w:pPr>
        <w:spacing w:after="0"/>
      </w:pPr>
    </w:p>
    <w:p>
      <w:pPr>
        <w:pStyle w:val="Heading2"/>
      </w:pPr>
      <w:r>
        <w:t>Предлагается:</w:t>
      </w:r>
    </w:p>
    <w:p>
      <w:pPr>
        <w:pStyle w:val="ListNumber"/>
        <w:numPr>
          <w:ilvl w:val="0"/>
          <w:numId w:val="10"/>
        </w:numPr>
      </w:pPr>
      <w:r>
        <w:t>принять 19 балансов как проектный классификатор для диагностики и межведомственного диалога, а не как готовый международный стандарт;</w:t>
      </w:r>
    </w:p>
    <w:p>
      <w:pPr>
        <w:pStyle w:val="ListNumber"/>
        <w:numPr>
          <w:ilvl w:val="0"/>
          <w:numId w:val="10"/>
        </w:numPr>
      </w:pPr>
      <w:r>
        <w:t>на первом этапе публиковать панель и вектор 19 × 5, сохраняя различимость балансов, территорий и социальных групп;</w:t>
      </w:r>
    </w:p>
    <w:p>
      <w:pPr>
        <w:pStyle w:val="ListNumber"/>
        <w:numPr>
          <w:ilvl w:val="0"/>
          <w:numId w:val="10"/>
        </w:numPr>
      </w:pPr>
      <w:r>
        <w:t>строить причинные модели и сценарии вокруг решений, а не вокруг рейтинга;</w:t>
      </w:r>
    </w:p>
    <w:p>
      <w:pPr>
        <w:pStyle w:val="ListNumber"/>
        <w:numPr>
          <w:ilvl w:val="0"/>
          <w:numId w:val="10"/>
        </w:numPr>
      </w:pPr>
      <w:r>
        <w:t>использовать экспериментальный интегральный индекс только как дополнительный сигнал с защитой от компенсации слабых звеньев;</w:t>
      </w:r>
    </w:p>
    <w:p>
      <w:pPr>
        <w:pStyle w:val="ListNumber"/>
        <w:numPr>
          <w:ilvl w:val="0"/>
          <w:numId w:val="10"/>
        </w:numPr>
      </w:pPr>
      <w:r>
        <w:t>запустить территориальный пилот с научной верификацией, участием граждан и заранее заданными критериями масштабирования.</w:t>
      </w:r>
    </w:p>
    <w:p>
      <w:pPr>
        <w:pStyle w:val="Heading2"/>
      </w:pPr>
      <w:r>
        <w:t>Ожидаемый управленческий результат:</w:t>
      </w:r>
    </w:p>
    <w:p>
      <w:pPr>
        <w:pStyle w:val="ListBullet"/>
      </w:pPr>
      <w:r>
        <w:t>единая карта последствий решения до начала финансирования;</w:t>
      </w:r>
    </w:p>
    <w:p>
      <w:pPr>
        <w:pStyle w:val="ListBullet"/>
      </w:pPr>
      <w:r>
        <w:t>раннее выявление каскадных рисков и критических порогов;</w:t>
      </w:r>
    </w:p>
    <w:p>
      <w:pPr>
        <w:pStyle w:val="ListBullet"/>
      </w:pPr>
      <w:r>
        <w:t>согласование ведомственных, территориальных и общественных целей;</w:t>
      </w:r>
    </w:p>
    <w:p>
      <w:pPr>
        <w:pStyle w:val="ListBullet"/>
      </w:pPr>
      <w:r>
        <w:t>привязка ресурсов к проверяемым результатам для человека и среды;</w:t>
      </w:r>
    </w:p>
    <w:p>
      <w:pPr>
        <w:pStyle w:val="ListBullet"/>
      </w:pPr>
      <w:r>
        <w:t>накопление институциональной памяти: почему решение принято, на каких данных и с каким эффектом.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420"/>
        <w:gridCol w:w="7940"/>
      </w:tblGrid>
      <w:tr>
        <w:tc>
          <w:tcPr>
            <w:tcW w:type="dxa" w:w="142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</w:tcPr>
          <w:p>
            <w:pPr>
              <w:jc w:val="left"/>
            </w:pPr>
            <w:r>
              <w:rPr>
                <w:b/>
                <w:color w:val="FFFFFF"/>
                <w:sz w:val="18"/>
              </w:rPr>
              <w:t>НЕ ПРЕДЛАГАЕТСЯ</w:t>
            </w:r>
          </w:p>
        </w:tc>
        <w:tc>
          <w:tcPr>
            <w:tcW w:type="dxa" w:w="7940"/>
            <w:tcMar>
              <w:top w:w="90" w:type="dxa"/>
              <w:start w:w="100" w:type="dxa"/>
              <w:bottom w:w="90" w:type="dxa"/>
              <w:end w:w="100" w:type="dxa"/>
            </w:tcMar>
            <w:shd w:fill="F9EEEE"/>
          </w:tcPr>
          <w:p>
            <w:pPr>
              <w:jc w:val="left"/>
            </w:pPr>
            <w:r>
              <w:rPr>
                <w:b w:val="0"/>
                <w:color w:val="1D2733"/>
                <w:sz w:val="20"/>
              </w:rPr>
              <w:t>Унифицировать культуры; заменять политический выбор одной формулой; объявлять корреляции причинностью; присваивать человеку статус ресурса; скрывать конфликты интересов за средним баллом.</w:t>
            </w:r>
          </w:p>
        </w:tc>
      </w:tr>
    </w:tbl>
    <w:p>
      <w:pPr>
        <w:spacing w:after="0"/>
      </w:pPr>
    </w:p>
    <w:p>
      <w:pPr>
        <w:pageBreakBefore/>
        <w:spacing w:before="0" w:after="0" w:line="20" w:lineRule="exact"/>
      </w:pPr>
      <w:r>
        <w:rPr>
          <w:color w:val="FFFFFF"/>
          <w:sz w:val="2"/>
        </w:rPr>
        <w:t>​</w:t>
      </w:r>
    </w:p>
    <w:p>
      <w:pPr>
        <w:pStyle w:val="Heading1"/>
      </w:pPr>
      <w:r>
        <w:t>2  Мировая ситуация: дисбалансы уже связаны</w:t>
      </w:r>
    </w:p>
    <w:p>
      <w:pPr>
        <w:pStyle w:val="Subtitle"/>
      </w:pPr>
      <w:r>
        <w:t>Сигналы разных систем сходятся на качестве и устойчивости человеческой жизни</w:t>
      </w:r>
    </w:p>
    <w:p>
      <w:r>
        <w:t>Ниже приведены сопоставимые сигналы из официальных международных источников. Они не образуют единой причинной модели и относятся к разным периодам наблюдения. Их задача — показать масштаб и взаимосвязанность проблем, которые отраслевой мониторинг рассматривает раздельно.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500"/>
        <w:gridCol w:w="5520"/>
        <w:gridCol w:w="1200"/>
        <w:gridCol w:w="1140"/>
      </w:tblGrid>
      <w:tr>
        <w:trPr>
          <w:tblHeader w:val="true"/>
          <w:cantSplit/>
        </w:trPr>
        <w:tc>
          <w:tcPr>
            <w:tcW w:type="dxa" w:w="150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Сфера</w:t>
            </w:r>
          </w:p>
        </w:tc>
        <w:tc>
          <w:tcPr>
            <w:tcW w:type="dxa" w:w="552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Глобальный сигнал [Д]</w:t>
            </w:r>
          </w:p>
        </w:tc>
        <w:tc>
          <w:tcPr>
            <w:tcW w:type="dxa" w:w="120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Период</w:t>
            </w:r>
          </w:p>
        </w:tc>
        <w:tc>
          <w:tcPr>
            <w:tcW w:type="dxa" w:w="114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Источник</w:t>
            </w:r>
          </w:p>
        </w:tc>
      </w:tr>
      <w:tr>
        <w:trPr>
          <w:cantSplit/>
        </w:trPr>
        <w:tc>
          <w:tcPr>
            <w:tcW w:type="dxa" w:w="15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5"/>
              </w:rPr>
              <w:t>Культура</w:t>
            </w:r>
          </w:p>
        </w:tc>
        <w:tc>
          <w:tcPr>
            <w:tcW w:type="dxa" w:w="552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93% государств, представивших отчеты, признают культуру в планах устойчивого развития; культурные и креативные индустрии оцениваются в 3,39% мирового ВВП и 3,55% занятости; только 9% специалистов культуры считают социально-экономическую защиту достаточной</w:t>
            </w:r>
          </w:p>
        </w:tc>
        <w:tc>
          <w:tcPr>
            <w:tcW w:type="dxa" w:w="12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2019–2024</w:t>
            </w:r>
          </w:p>
        </w:tc>
        <w:tc>
          <w:tcPr>
            <w:tcW w:type="dxa" w:w="114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[1]</w:t>
            </w:r>
          </w:p>
        </w:tc>
      </w:tr>
      <w:tr>
        <w:trPr>
          <w:cantSplit/>
        </w:trPr>
        <w:tc>
          <w:tcPr>
            <w:tcW w:type="dxa" w:w="15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5"/>
              </w:rPr>
              <w:t>Образование</w:t>
            </w:r>
          </w:p>
        </w:tc>
        <w:tc>
          <w:tcPr>
            <w:tcW w:type="dxa" w:w="552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272 млн детей и молодых людей оценочно оставались вне школы</w:t>
            </w:r>
          </w:p>
        </w:tc>
        <w:tc>
          <w:tcPr>
            <w:tcW w:type="dxa" w:w="12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2025</w:t>
            </w:r>
          </w:p>
        </w:tc>
        <w:tc>
          <w:tcPr>
            <w:tcW w:type="dxa" w:w="114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[4]</w:t>
            </w:r>
          </w:p>
        </w:tc>
      </w:tr>
      <w:tr>
        <w:trPr>
          <w:cantSplit/>
        </w:trPr>
        <w:tc>
          <w:tcPr>
            <w:tcW w:type="dxa" w:w="15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5"/>
              </w:rPr>
              <w:t>Психическое здоровье</w:t>
            </w:r>
          </w:p>
        </w:tc>
        <w:tc>
          <w:tcPr>
            <w:tcW w:type="dxa" w:w="552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почти каждый седьмой человек — около 1,1 млрд — жил с психическим расстройством</w:t>
            </w:r>
          </w:p>
        </w:tc>
        <w:tc>
          <w:tcPr>
            <w:tcW w:type="dxa" w:w="12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2021</w:t>
            </w:r>
          </w:p>
        </w:tc>
        <w:tc>
          <w:tcPr>
            <w:tcW w:type="dxa" w:w="114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[5]</w:t>
            </w:r>
          </w:p>
        </w:tc>
      </w:tr>
      <w:tr>
        <w:trPr>
          <w:cantSplit/>
        </w:trPr>
        <w:tc>
          <w:tcPr>
            <w:tcW w:type="dxa" w:w="15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5"/>
              </w:rPr>
              <w:t>Вода и санитария</w:t>
            </w:r>
          </w:p>
        </w:tc>
        <w:tc>
          <w:tcPr>
            <w:tcW w:type="dxa" w:w="552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2,1 млрд человек не имели безопасно управляемого питьевого водоснабжения; 3,4 млрд — безопасно управляемой санитарии</w:t>
            </w:r>
          </w:p>
        </w:tc>
        <w:tc>
          <w:tcPr>
            <w:tcW w:type="dxa" w:w="12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2024</w:t>
            </w:r>
          </w:p>
        </w:tc>
        <w:tc>
          <w:tcPr>
            <w:tcW w:type="dxa" w:w="114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[6]</w:t>
            </w:r>
          </w:p>
        </w:tc>
      </w:tr>
      <w:tr>
        <w:trPr>
          <w:cantSplit/>
        </w:trPr>
        <w:tc>
          <w:tcPr>
            <w:tcW w:type="dxa" w:w="15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5"/>
              </w:rPr>
              <w:t>Цифровая связанность</w:t>
            </w:r>
          </w:p>
        </w:tc>
        <w:tc>
          <w:tcPr>
            <w:tcW w:type="dxa" w:w="552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6 млрд человек были онлайн, 2,2 млрд — оставались офлайн</w:t>
            </w:r>
          </w:p>
        </w:tc>
        <w:tc>
          <w:tcPr>
            <w:tcW w:type="dxa" w:w="12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2025</w:t>
            </w:r>
          </w:p>
        </w:tc>
        <w:tc>
          <w:tcPr>
            <w:tcW w:type="dxa" w:w="114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[7]</w:t>
            </w:r>
          </w:p>
        </w:tc>
      </w:tr>
      <w:tr>
        <w:trPr>
          <w:cantSplit/>
        </w:trPr>
        <w:tc>
          <w:tcPr>
            <w:tcW w:type="dxa" w:w="15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5"/>
              </w:rPr>
              <w:t>Ресурсы</w:t>
            </w:r>
          </w:p>
        </w:tc>
        <w:tc>
          <w:tcPr>
            <w:tcW w:type="dxa" w:w="552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извлечение природных ресурсов утроилось за пять десятилетий и при текущих тенденциях может вырасти еще на 60% к 2060 году</w:t>
            </w:r>
          </w:p>
        </w:tc>
        <w:tc>
          <w:tcPr>
            <w:tcW w:type="dxa" w:w="12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оценка 2024</w:t>
            </w:r>
          </w:p>
        </w:tc>
        <w:tc>
          <w:tcPr>
            <w:tcW w:type="dxa" w:w="114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[8]</w:t>
            </w:r>
          </w:p>
        </w:tc>
      </w:tr>
      <w:tr>
        <w:trPr>
          <w:cantSplit/>
        </w:trPr>
        <w:tc>
          <w:tcPr>
            <w:tcW w:type="dxa" w:w="15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5"/>
              </w:rPr>
              <w:t>Климат</w:t>
            </w:r>
          </w:p>
        </w:tc>
        <w:tc>
          <w:tcPr>
            <w:tcW w:type="dxa" w:w="552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траектория текущей политики оценивается примерно в 2,8 °C потепления в течение столетия</w:t>
            </w:r>
          </w:p>
        </w:tc>
        <w:tc>
          <w:tcPr>
            <w:tcW w:type="dxa" w:w="12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оценка 2025</w:t>
            </w:r>
          </w:p>
        </w:tc>
        <w:tc>
          <w:tcPr>
            <w:tcW w:type="dxa" w:w="114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[9]</w:t>
            </w:r>
          </w:p>
        </w:tc>
      </w:tr>
      <w:tr>
        <w:trPr>
          <w:cantSplit/>
        </w:trPr>
        <w:tc>
          <w:tcPr>
            <w:tcW w:type="dxa" w:w="15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5"/>
              </w:rPr>
              <w:t>Вынужденное перемещение</w:t>
            </w:r>
          </w:p>
        </w:tc>
        <w:tc>
          <w:tcPr>
            <w:tcW w:type="dxa" w:w="552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по сумме категорий UNHCR — около 117,8 млн человек к концу года; примерно один из 70 жителей планеты</w:t>
            </w:r>
          </w:p>
        </w:tc>
        <w:tc>
          <w:tcPr>
            <w:tcW w:type="dxa" w:w="12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конец 2025</w:t>
            </w:r>
          </w:p>
        </w:tc>
        <w:tc>
          <w:tcPr>
            <w:tcW w:type="dxa" w:w="114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[10]</w:t>
            </w:r>
          </w:p>
        </w:tc>
      </w:tr>
      <w:tr>
        <w:trPr>
          <w:cantSplit/>
        </w:trPr>
        <w:tc>
          <w:tcPr>
            <w:tcW w:type="dxa" w:w="15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5"/>
              </w:rPr>
              <w:t>Питание</w:t>
            </w:r>
          </w:p>
        </w:tc>
        <w:tc>
          <w:tcPr>
            <w:tcW w:type="dxa" w:w="552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645 млн человек столкнулись с голодом; здоровый рацион был экономически недоступен для 2,7 млрд</w:t>
            </w:r>
          </w:p>
        </w:tc>
        <w:tc>
          <w:tcPr>
            <w:tcW w:type="dxa" w:w="12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2025</w:t>
            </w:r>
          </w:p>
        </w:tc>
        <w:tc>
          <w:tcPr>
            <w:tcW w:type="dxa" w:w="114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[11]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420"/>
        <w:gridCol w:w="7940"/>
      </w:tblGrid>
      <w:tr>
        <w:tc>
          <w:tcPr>
            <w:tcW w:type="dxa" w:w="142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</w:tcPr>
          <w:p>
            <w:pPr>
              <w:jc w:val="left"/>
            </w:pPr>
            <w:r>
              <w:rPr>
                <w:b/>
                <w:color w:val="FFFFFF"/>
                <w:sz w:val="18"/>
              </w:rPr>
              <w:t>ВЫВОД [Э]</w:t>
            </w:r>
          </w:p>
        </w:tc>
        <w:tc>
          <w:tcPr>
            <w:tcW w:type="dxa" w:w="7940"/>
            <w:tcMar>
              <w:top w:w="90" w:type="dxa"/>
              <w:start w:w="100" w:type="dxa"/>
              <w:bottom w:w="90" w:type="dxa"/>
              <w:end w:w="100" w:type="dxa"/>
            </w:tcMar>
            <w:shd w:fill="EEF5FC"/>
          </w:tcPr>
          <w:p>
            <w:pPr>
              <w:jc w:val="left"/>
            </w:pPr>
            <w:r>
              <w:rPr>
                <w:b w:val="0"/>
                <w:color w:val="1D2733"/>
                <w:sz w:val="20"/>
              </w:rPr>
              <w:t>Разрывы не складываются линейно. Они усиливают друг друга через здоровье, доверие, образование, миграцию, стоимость капитала, безопасность и способность институтов действовать.</w:t>
            </w:r>
          </w:p>
        </w:tc>
      </w:tr>
    </w:tbl>
    <w:p>
      <w:pPr>
        <w:spacing w:after="0"/>
      </w:pPr>
    </w:p>
    <w:p>
      <w:pPr>
        <w:pageBreakBefore/>
        <w:spacing w:before="0" w:after="0" w:line="20" w:lineRule="exact"/>
      </w:pPr>
      <w:r>
        <w:rPr>
          <w:color w:val="FFFFFF"/>
          <w:sz w:val="2"/>
        </w:rPr>
        <w:t>​</w:t>
      </w:r>
    </w:p>
    <w:p>
      <w:pPr>
        <w:pStyle w:val="Heading1"/>
      </w:pPr>
      <w:r>
        <w:t>2.1  Почему отраслевого управления недостаточно</w:t>
      </w:r>
    </w:p>
    <w:p>
      <w:pPr>
        <w:pStyle w:val="Subtitle"/>
      </w:pPr>
      <w:r>
        <w:t>Ведомственная оптимизация может переносить издержки в другую систему или поколение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450"/>
        <w:gridCol w:w="1800"/>
        <w:gridCol w:w="3300"/>
        <w:gridCol w:w="2810"/>
      </w:tblGrid>
      <w:tr>
        <w:trPr>
          <w:tblHeader w:val="true"/>
          <w:cantSplit/>
        </w:trPr>
        <w:tc>
          <w:tcPr>
            <w:tcW w:type="dxa" w:w="145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Решение</w:t>
            </w:r>
          </w:p>
        </w:tc>
        <w:tc>
          <w:tcPr>
            <w:tcW w:type="dxa" w:w="180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Локальная цель</w:t>
            </w:r>
          </w:p>
        </w:tc>
        <w:tc>
          <w:tcPr>
            <w:tcW w:type="dxa" w:w="330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Часто невидимые переносы</w:t>
            </w:r>
          </w:p>
        </w:tc>
        <w:tc>
          <w:tcPr>
            <w:tcW w:type="dxa" w:w="281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Необходимая проверка</w:t>
            </w:r>
          </w:p>
        </w:tc>
      </w:tr>
      <w:tr>
        <w:trPr>
          <w:cantSplit/>
        </w:trPr>
        <w:tc>
          <w:tcPr>
            <w:tcW w:type="dxa" w:w="14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6"/>
              </w:rPr>
              <w:t>Энергетический проект</w:t>
            </w:r>
          </w:p>
        </w:tc>
        <w:tc>
          <w:tcPr>
            <w:tcW w:type="dxa" w:w="18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доступность и надежность</w:t>
            </w:r>
          </w:p>
        </w:tc>
        <w:tc>
          <w:tcPr>
            <w:tcW w:type="dxa" w:w="33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земля, вода, здоровье, культурный ландшафт, финансовая зависимость</w:t>
            </w:r>
          </w:p>
        </w:tc>
        <w:tc>
          <w:tcPr>
            <w:tcW w:type="dxa" w:w="281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паспорт воздействия по 19 балансам до решения</w:t>
            </w:r>
          </w:p>
        </w:tc>
      </w:tr>
      <w:tr>
        <w:trPr>
          <w:cantSplit/>
        </w:trPr>
        <w:tc>
          <w:tcPr>
            <w:tcW w:type="dxa" w:w="14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6"/>
              </w:rPr>
              <w:t>Цифровая платформа</w:t>
            </w:r>
          </w:p>
        </w:tc>
        <w:tc>
          <w:tcPr>
            <w:tcW w:type="dxa" w:w="18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скорость и масштаб услуг</w:t>
            </w:r>
          </w:p>
        </w:tc>
        <w:tc>
          <w:tcPr>
            <w:tcW w:type="dxa" w:w="33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приватность, автономия, цифровое исключение, внимание, технологическая зависимость</w:t>
            </w:r>
          </w:p>
        </w:tc>
        <w:tc>
          <w:tcPr>
            <w:tcW w:type="dxa" w:w="281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оценка прав, доступности, безопасности и человеческого контроля</w:t>
            </w:r>
          </w:p>
        </w:tc>
      </w:tr>
      <w:tr>
        <w:trPr>
          <w:cantSplit/>
        </w:trPr>
        <w:tc>
          <w:tcPr>
            <w:tcW w:type="dxa" w:w="14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6"/>
              </w:rPr>
              <w:t>Городская реновация</w:t>
            </w:r>
          </w:p>
        </w:tc>
        <w:tc>
          <w:tcPr>
            <w:tcW w:type="dxa" w:w="18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обновление фонда и стоимость земли</w:t>
            </w:r>
          </w:p>
        </w:tc>
        <w:tc>
          <w:tcPr>
            <w:tcW w:type="dxa" w:w="33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вытеснение жителей, потеря памяти места, рост времени поездок, разрушение соседских сетей</w:t>
            </w:r>
          </w:p>
        </w:tc>
        <w:tc>
          <w:tcPr>
            <w:tcW w:type="dxa" w:w="281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территориальный сценарий с участием сообществ</w:t>
            </w:r>
          </w:p>
        </w:tc>
      </w:tr>
      <w:tr>
        <w:trPr>
          <w:cantSplit/>
        </w:trPr>
        <w:tc>
          <w:tcPr>
            <w:tcW w:type="dxa" w:w="14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6"/>
              </w:rPr>
              <w:t>Образовательная реформа</w:t>
            </w:r>
          </w:p>
        </w:tc>
        <w:tc>
          <w:tcPr>
            <w:tcW w:type="dxa" w:w="18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результаты тестирования и экономия</w:t>
            </w:r>
          </w:p>
        </w:tc>
        <w:tc>
          <w:tcPr>
            <w:tcW w:type="dxa" w:w="33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неравенство доступа, перегрузка, сужение культуры и творчества, отток кадров</w:t>
            </w:r>
          </w:p>
        </w:tc>
        <w:tc>
          <w:tcPr>
            <w:tcW w:type="dxa" w:w="281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баланс компетенций, благополучия, культуры и территорий</w:t>
            </w:r>
          </w:p>
        </w:tc>
      </w:tr>
      <w:tr>
        <w:trPr>
          <w:cantSplit/>
        </w:trPr>
        <w:tc>
          <w:tcPr>
            <w:tcW w:type="dxa" w:w="14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6"/>
              </w:rPr>
              <w:t>Экологическое ограничение</w:t>
            </w:r>
          </w:p>
        </w:tc>
        <w:tc>
          <w:tcPr>
            <w:tcW w:type="dxa" w:w="18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снижение давления на экосистему</w:t>
            </w:r>
          </w:p>
        </w:tc>
        <w:tc>
          <w:tcPr>
            <w:tcW w:type="dxa" w:w="33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занятость, доходы, продовольствие, доверие к справедливости перехода</w:t>
            </w:r>
          </w:p>
        </w:tc>
        <w:tc>
          <w:tcPr>
            <w:tcW w:type="dxa" w:w="281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компенсационный пакет и последовательность перехода</w:t>
            </w:r>
          </w:p>
        </w:tc>
      </w:tr>
    </w:tbl>
    <w:p>
      <w:pPr>
        <w:spacing w:after="0"/>
      </w:pPr>
    </w:p>
    <w:p>
      <w:pPr>
        <w:pStyle w:val="Heading2"/>
      </w:pPr>
      <w:r>
        <w:t>Принцип предосторожности:</w:t>
      </w:r>
    </w:p>
    <w:p>
      <w:r>
        <w:t>Если воздействие затрагивает критический порог хотя бы одного баланса, средняя положительная оценка не отменяет необходимость пересмотра решения. Управление балансами не запрещает компромиссы; оно делает их видимыми, объяснимыми и ограниченными красными линиями.</w:t>
      </w:r>
    </w:p>
    <w:p>
      <w:pPr>
        <w:pageBreakBefore/>
        <w:spacing w:before="0" w:after="0" w:line="20" w:lineRule="exact"/>
      </w:pPr>
      <w:r>
        <w:rPr>
          <w:color w:val="FFFFFF"/>
          <w:sz w:val="2"/>
        </w:rPr>
        <w:t>​</w:t>
      </w:r>
    </w:p>
    <w:p>
      <w:pPr>
        <w:pStyle w:val="Heading1"/>
      </w:pPr>
      <w:r>
        <w:t>3  Основные понятия</w:t>
      </w:r>
    </w:p>
    <w:p>
      <w:pPr>
        <w:pStyle w:val="Subtitle"/>
      </w:pPr>
      <w:r>
        <w:t>Три опоры рамки и границы их употребления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800"/>
        <w:gridCol w:w="7560"/>
      </w:tblGrid>
      <w:tr>
        <w:tc>
          <w:tcPr>
            <w:tcW w:type="dxa" w:w="1800"/>
            <w:tcMar>
              <w:top w:w="90" w:type="dxa"/>
              <w:start w:w="100" w:type="dxa"/>
              <w:bottom w:w="90" w:type="dxa"/>
              <w:end w:w="100" w:type="dxa"/>
            </w:tcMar>
            <w:shd w:fill="1D3552"/>
          </w:tcPr>
          <w:p>
            <w:r>
              <w:rPr>
                <w:rFonts w:ascii="Calibri" w:hAnsi="Calibri" w:eastAsia="Calibri"/>
                <w:b/>
                <w:color w:val="FFFFFF"/>
                <w:sz w:val="20"/>
              </w:rPr>
              <w:t>ЧЕЛОВЕК</w:t>
            </w:r>
          </w:p>
        </w:tc>
        <w:tc>
          <w:tcPr>
            <w:tcW w:type="dxa" w:w="7560"/>
            <w:tcMar>
              <w:top w:w="90" w:type="dxa"/>
              <w:start w:w="100" w:type="dxa"/>
              <w:bottom w:w="90" w:type="dxa"/>
              <w:end w:w="100" w:type="dxa"/>
            </w:tcMar>
            <w:shd w:fill="F4F6F9"/>
          </w:tcPr>
          <w:p>
            <w:r>
              <w:rPr>
                <w:rFonts w:ascii="Calibri" w:hAnsi="Calibri" w:eastAsia="Calibri"/>
                <w:color w:val="1D2733"/>
                <w:sz w:val="20"/>
              </w:rPr>
              <w:t>Не объект управления и не производственный ресурс. Человек — субъект права и действия, носитель достоинства, культуры, отношений и способности создавать. Критерий результата — расширение реальных возможностей жить, понимать, участвовать и созидать.</w:t>
            </w:r>
          </w:p>
        </w:tc>
      </w:tr>
    </w:tbl>
    <w:p>
      <w:pPr>
        <w:spacing w:after="20"/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800"/>
        <w:gridCol w:w="7560"/>
      </w:tblGrid>
      <w:tr>
        <w:tc>
          <w:tcPr>
            <w:tcW w:type="dxa" w:w="1800"/>
            <w:tcMar>
              <w:top w:w="90" w:type="dxa"/>
              <w:start w:w="100" w:type="dxa"/>
              <w:bottom w:w="90" w:type="dxa"/>
              <w:end w:w="100" w:type="dxa"/>
            </w:tcMar>
            <w:shd w:fill="1D3552"/>
          </w:tcPr>
          <w:p>
            <w:r>
              <w:rPr>
                <w:rFonts w:ascii="Calibri" w:hAnsi="Calibri" w:eastAsia="Calibri"/>
                <w:b/>
                <w:color w:val="FFFFFF"/>
                <w:sz w:val="20"/>
              </w:rPr>
              <w:t>КУЛЬТУРА</w:t>
            </w:r>
          </w:p>
        </w:tc>
        <w:tc>
          <w:tcPr>
            <w:tcW w:type="dxa" w:w="7560"/>
            <w:tcMar>
              <w:top w:w="90" w:type="dxa"/>
              <w:start w:w="100" w:type="dxa"/>
              <w:bottom w:w="90" w:type="dxa"/>
              <w:end w:w="100" w:type="dxa"/>
            </w:tcMar>
            <w:shd w:fill="F4F6F9"/>
          </w:tcPr>
          <w:p>
            <w:r>
              <w:rPr>
                <w:rFonts w:ascii="Calibri" w:hAnsi="Calibri" w:eastAsia="Calibri"/>
                <w:color w:val="1D2733"/>
                <w:sz w:val="20"/>
              </w:rPr>
              <w:t>Не только отрасль искусства и наследия. Это среда воспроизводства смыслов, языка, норм, доверия, памяти, воображения, мастерства и практик сотрудничества. Она одновременно является самостоятельным балансом и сквозным регулятором остальных восемнадцати.</w:t>
            </w:r>
          </w:p>
        </w:tc>
      </w:tr>
    </w:tbl>
    <w:p>
      <w:pPr>
        <w:spacing w:after="20"/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800"/>
        <w:gridCol w:w="7560"/>
      </w:tblGrid>
      <w:tr>
        <w:tc>
          <w:tcPr>
            <w:tcW w:type="dxa" w:w="1800"/>
            <w:tcMar>
              <w:top w:w="90" w:type="dxa"/>
              <w:start w:w="100" w:type="dxa"/>
              <w:bottom w:w="90" w:type="dxa"/>
              <w:end w:w="100" w:type="dxa"/>
            </w:tcMar>
            <w:shd w:fill="1D3552"/>
          </w:tcPr>
          <w:p>
            <w:r>
              <w:rPr>
                <w:rFonts w:ascii="Calibri" w:hAnsi="Calibri" w:eastAsia="Calibri"/>
                <w:b/>
                <w:color w:val="FFFFFF"/>
                <w:sz w:val="20"/>
              </w:rPr>
              <w:t>МИРОВОЙ БАЛАНС</w:t>
            </w:r>
          </w:p>
        </w:tc>
        <w:tc>
          <w:tcPr>
            <w:tcW w:type="dxa" w:w="7560"/>
            <w:tcMar>
              <w:top w:w="90" w:type="dxa"/>
              <w:start w:w="100" w:type="dxa"/>
              <w:bottom w:w="90" w:type="dxa"/>
              <w:end w:w="100" w:type="dxa"/>
            </w:tcMar>
            <w:shd w:fill="F4F6F9"/>
          </w:tcPr>
          <w:p>
            <w:r>
              <w:rPr>
                <w:rFonts w:ascii="Calibri" w:hAnsi="Calibri" w:eastAsia="Calibri"/>
                <w:color w:val="1D2733"/>
                <w:sz w:val="20"/>
              </w:rPr>
              <w:t>Не статическое равенство и не отсутствие конфликта. Это динамический безопасный коридор, в котором система способна удовлетворять потребности, восстанавливаться после потрясений и не переносить неприемлемые издержки на другие группы, территории и поколения.</w:t>
            </w:r>
          </w:p>
        </w:tc>
      </w:tr>
    </w:tbl>
    <w:p>
      <w:pPr>
        <w:spacing w:after="20"/>
      </w:pPr>
    </w:p>
    <w:p>
      <w:pPr>
        <w:pStyle w:val="Heading2"/>
      </w:pPr>
      <w:r>
        <w:t>Сквозные измерения</w:t>
      </w:r>
    </w:p>
    <w:p>
      <w:pPr>
        <w:pStyle w:val="ListBullet"/>
      </w:pPr>
      <w:r>
        <w:t>межпоколенческая справедливость: кому достаются выгоды, риски и необратимые потери;</w:t>
      </w:r>
    </w:p>
    <w:p>
      <w:pPr>
        <w:pStyle w:val="ListBullet"/>
      </w:pPr>
      <w:r>
        <w:t>территориальная справедливость: какие различия скрывает средняя величина;</w:t>
      </w:r>
    </w:p>
    <w:p>
      <w:pPr>
        <w:pStyle w:val="ListBullet"/>
      </w:pPr>
      <w:r>
        <w:t>достоинство и права: какие решения недопустимы независимо от выгоды;</w:t>
      </w:r>
    </w:p>
    <w:p>
      <w:pPr>
        <w:pStyle w:val="ListBullet"/>
      </w:pPr>
      <w:r>
        <w:t>устойчивость: насколько система выдерживает шоки и восстанавливает функции;</w:t>
      </w:r>
    </w:p>
    <w:p>
      <w:pPr>
        <w:pStyle w:val="ListBullet"/>
      </w:pPr>
      <w:r>
        <w:t>созидательность: создает ли решение новые способности, связи и общественные блага.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420"/>
        <w:gridCol w:w="7940"/>
      </w:tblGrid>
      <w:tr>
        <w:tc>
          <w:tcPr>
            <w:tcW w:type="dxa" w:w="142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</w:tcPr>
          <w:p>
            <w:pPr>
              <w:jc w:val="left"/>
            </w:pPr>
            <w:r>
              <w:rPr>
                <w:b/>
                <w:color w:val="FFFFFF"/>
                <w:sz w:val="18"/>
              </w:rPr>
              <w:t>ГРАНИЦА</w:t>
            </w:r>
          </w:p>
        </w:tc>
        <w:tc>
          <w:tcPr>
            <w:tcW w:type="dxa" w:w="7940"/>
            <w:tcMar>
              <w:top w:w="90" w:type="dxa"/>
              <w:start w:w="100" w:type="dxa"/>
              <w:bottom w:w="90" w:type="dxa"/>
              <w:end w:w="100" w:type="dxa"/>
            </w:tcMar>
            <w:shd w:fill="EEF5FC"/>
          </w:tcPr>
          <w:p>
            <w:pPr>
              <w:jc w:val="left"/>
            </w:pPr>
            <w:r>
              <w:rPr>
                <w:b w:val="0"/>
                <w:color w:val="1D2733"/>
                <w:sz w:val="20"/>
              </w:rPr>
              <w:t>Культурное разнообразие является условием жизнеспособности рамки. Она не задает единую шкалу идентичностей и не подменяет общественный выбор экспертной формулой.</w:t>
            </w:r>
          </w:p>
        </w:tc>
      </w:tr>
    </w:tbl>
    <w:p>
      <w:pPr>
        <w:spacing w:after="0"/>
      </w:pPr>
    </w:p>
    <w:p>
      <w:pPr>
        <w:pageBreakBefore/>
        <w:spacing w:before="0" w:after="0" w:line="20" w:lineRule="exact"/>
      </w:pPr>
      <w:r>
        <w:rPr>
          <w:color w:val="FFFFFF"/>
          <w:sz w:val="2"/>
        </w:rPr>
        <w:t>​</w:t>
      </w:r>
    </w:p>
    <w:p>
      <w:pPr>
        <w:pStyle w:val="Heading1"/>
      </w:pPr>
      <w:r>
        <w:t>3.1  Пять уровней рассмотрения</w:t>
      </w:r>
    </w:p>
    <w:p>
      <w:pPr>
        <w:pStyle w:val="Subtitle"/>
      </w:pPr>
      <w:r>
        <w:t>Один и тот же баланс проявляется на разных масштабах и требует согласованных решений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800"/>
        <w:gridCol w:w="2150"/>
        <w:gridCol w:w="3730"/>
        <w:gridCol w:w="2680"/>
      </w:tblGrid>
      <w:tr>
        <w:trPr>
          <w:tblHeader w:val="true"/>
          <w:cantSplit/>
        </w:trPr>
        <w:tc>
          <w:tcPr>
            <w:tcW w:type="dxa" w:w="80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Уровень</w:t>
            </w:r>
          </w:p>
        </w:tc>
        <w:tc>
          <w:tcPr>
            <w:tcW w:type="dxa" w:w="215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Масштаб</w:t>
            </w:r>
          </w:p>
        </w:tc>
        <w:tc>
          <w:tcPr>
            <w:tcW w:type="dxa" w:w="373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Что наблюдаем</w:t>
            </w:r>
          </w:p>
        </w:tc>
        <w:tc>
          <w:tcPr>
            <w:tcW w:type="dxa" w:w="268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Тип решений</w:t>
            </w:r>
          </w:p>
        </w:tc>
      </w:tr>
      <w:tr>
        <w:trPr>
          <w:cantSplit/>
        </w:trPr>
        <w:tc>
          <w:tcPr>
            <w:tcW w:type="dxa" w:w="8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1</w:t>
            </w:r>
          </w:p>
        </w:tc>
        <w:tc>
          <w:tcPr>
            <w:tcW w:type="dxa" w:w="21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Личность</w:t>
            </w:r>
          </w:p>
        </w:tc>
        <w:tc>
          <w:tcPr>
            <w:tcW w:type="dxa" w:w="373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здоровье, знания, достоинство, время, способность к выбору</w:t>
            </w:r>
          </w:p>
        </w:tc>
        <w:tc>
          <w:tcPr>
            <w:tcW w:type="dxa" w:w="268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индивидуальные траектории и доступность</w:t>
            </w:r>
          </w:p>
        </w:tc>
      </w:tr>
      <w:tr>
        <w:trPr>
          <w:cantSplit/>
        </w:trPr>
        <w:tc>
          <w:tcPr>
            <w:tcW w:type="dxa" w:w="8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2</w:t>
            </w:r>
          </w:p>
        </w:tc>
        <w:tc>
          <w:tcPr>
            <w:tcW w:type="dxa" w:w="21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Семья и сообщество</w:t>
            </w:r>
          </w:p>
        </w:tc>
        <w:tc>
          <w:tcPr>
            <w:tcW w:type="dxa" w:w="373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забота, доверие, передача культуры, взаимопомощь</w:t>
            </w:r>
          </w:p>
        </w:tc>
        <w:tc>
          <w:tcPr>
            <w:tcW w:type="dxa" w:w="268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социальная инфраструктура и участие</w:t>
            </w:r>
          </w:p>
        </w:tc>
      </w:tr>
      <w:tr>
        <w:trPr>
          <w:cantSplit/>
        </w:trPr>
        <w:tc>
          <w:tcPr>
            <w:tcW w:type="dxa" w:w="8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3</w:t>
            </w:r>
          </w:p>
        </w:tc>
        <w:tc>
          <w:tcPr>
            <w:tcW w:type="dxa" w:w="21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Территория и институт</w:t>
            </w:r>
          </w:p>
        </w:tc>
        <w:tc>
          <w:tcPr>
            <w:tcW w:type="dxa" w:w="373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услуги, среда, экономика, экосистемы, управление</w:t>
            </w:r>
          </w:p>
        </w:tc>
        <w:tc>
          <w:tcPr>
            <w:tcW w:type="dxa" w:w="268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проектные решения и бюджеты</w:t>
            </w:r>
          </w:p>
        </w:tc>
      </w:tr>
      <w:tr>
        <w:trPr>
          <w:cantSplit/>
        </w:trPr>
        <w:tc>
          <w:tcPr>
            <w:tcW w:type="dxa" w:w="8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4</w:t>
            </w:r>
          </w:p>
        </w:tc>
        <w:tc>
          <w:tcPr>
            <w:tcW w:type="dxa" w:w="21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Государство и цивилизационное пространство</w:t>
            </w:r>
          </w:p>
        </w:tc>
        <w:tc>
          <w:tcPr>
            <w:tcW w:type="dxa" w:w="373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правила, суверенитет, перераспределение, стратегия</w:t>
            </w:r>
          </w:p>
        </w:tc>
        <w:tc>
          <w:tcPr>
            <w:tcW w:type="dxa" w:w="268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национальные политики и нормативы</w:t>
            </w:r>
          </w:p>
        </w:tc>
      </w:tr>
      <w:tr>
        <w:trPr>
          <w:cantSplit/>
        </w:trPr>
        <w:tc>
          <w:tcPr>
            <w:tcW w:type="dxa" w:w="8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5</w:t>
            </w:r>
          </w:p>
        </w:tc>
        <w:tc>
          <w:tcPr>
            <w:tcW w:type="dxa" w:w="21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Планета и межцивилизационные отношения</w:t>
            </w:r>
          </w:p>
        </w:tc>
        <w:tc>
          <w:tcPr>
            <w:tcW w:type="dxa" w:w="373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общие пределы, мир, обмен, глобальные общественные блага</w:t>
            </w:r>
          </w:p>
        </w:tc>
        <w:tc>
          <w:tcPr>
            <w:tcW w:type="dxa" w:w="268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соглашения, кооперация и взаимная ответственность</w:t>
            </w:r>
          </w:p>
        </w:tc>
      </w:tr>
    </w:tbl>
    <w:p>
      <w:pPr>
        <w:spacing w:after="0"/>
      </w:pPr>
    </w:p>
    <w:p>
      <w:r>
        <w:t>Для каждого из 19 балансов формируется матрица 5 уровней. Это позволяет увидеть, например, как ухудшение личного психического благополучия связано с информационной средой, территориальной доступностью помощи, национальной политикой и глобальными технологическими платформами.</w:t>
      </w:r>
    </w:p>
    <w:p>
      <w:pPr>
        <w:pageBreakBefore/>
        <w:spacing w:before="0" w:after="0" w:line="20" w:lineRule="exact"/>
      </w:pPr>
      <w:r>
        <w:rPr>
          <w:color w:val="FFFFFF"/>
          <w:sz w:val="2"/>
        </w:rPr>
        <w:t>​</w:t>
      </w:r>
    </w:p>
    <w:p>
      <w:pPr>
        <w:pStyle w:val="Heading1"/>
      </w:pPr>
      <w:r>
        <w:t>4  Архитектура 19 балансов</w:t>
      </w:r>
    </w:p>
    <w:p>
      <w:pPr>
        <w:pStyle w:val="Subtitle"/>
      </w:pPr>
      <w:r>
        <w:t>Предлагаемый классификатор для диагностики, сценариев и согласования решений</w:t>
      </w:r>
    </w:p>
    <w:p>
      <w:r>
        <w:t>Классификатор объединяет 19 взаимозависимых балансов в пять групп. Он является нормативно-аналитическим предложением [Н], которое должно пройти научную, правовую, культурную и территориальную валидацию. Нумерация не означает иерархии важности.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650"/>
        <w:gridCol w:w="1750"/>
        <w:gridCol w:w="2770"/>
        <w:gridCol w:w="4190"/>
      </w:tblGrid>
      <w:tr>
        <w:trPr>
          <w:tblHeader w:val="true"/>
          <w:cantSplit/>
        </w:trPr>
        <w:tc>
          <w:tcPr>
            <w:tcW w:type="dxa" w:w="65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№</w:t>
            </w:r>
          </w:p>
        </w:tc>
        <w:tc>
          <w:tcPr>
            <w:tcW w:type="dxa" w:w="175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Группа</w:t>
            </w:r>
          </w:p>
        </w:tc>
        <w:tc>
          <w:tcPr>
            <w:tcW w:type="dxa" w:w="277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Функция</w:t>
            </w:r>
          </w:p>
        </w:tc>
        <w:tc>
          <w:tcPr>
            <w:tcW w:type="dxa" w:w="419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Состав</w:t>
            </w:r>
          </w:p>
        </w:tc>
      </w:tr>
      <w:tr>
        <w:trPr>
          <w:cantSplit/>
        </w:trPr>
        <w:tc>
          <w:tcPr>
            <w:tcW w:type="dxa" w:w="6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6"/>
              </w:rPr>
              <w:t>1–4</w:t>
            </w:r>
          </w:p>
        </w:tc>
        <w:tc>
          <w:tcPr>
            <w:tcW w:type="dxa" w:w="17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I. Человек</w:t>
            </w:r>
          </w:p>
        </w:tc>
        <w:tc>
          <w:tcPr>
            <w:tcW w:type="dxa" w:w="277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Конечные результаты развития, отраженные в возможностях человека.</w:t>
            </w:r>
          </w:p>
        </w:tc>
        <w:tc>
          <w:tcPr>
            <w:tcW w:type="dxa" w:w="419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Поколения и демографическое воспроизводство; Здоровье и активная здоровая жизнь; Знания, образование и компетенции; Труд, доход и личное время</w:t>
            </w:r>
          </w:p>
        </w:tc>
      </w:tr>
      <w:tr>
        <w:trPr>
          <w:cantSplit/>
        </w:trPr>
        <w:tc>
          <w:tcPr>
            <w:tcW w:type="dxa" w:w="6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6"/>
              </w:rPr>
              <w:t>5–8</w:t>
            </w:r>
          </w:p>
        </w:tc>
        <w:tc>
          <w:tcPr>
            <w:tcW w:type="dxa" w:w="17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II. Культура и общество</w:t>
            </w:r>
          </w:p>
        </w:tc>
        <w:tc>
          <w:tcPr>
            <w:tcW w:type="dxa" w:w="277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Механизмы смысловой связности, доверия и совместного действия.</w:t>
            </w:r>
          </w:p>
        </w:tc>
        <w:tc>
          <w:tcPr>
            <w:tcW w:type="dxa" w:w="419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Ценности, идентичность и историческая память; Доверие, солидарность и участие; Справедливость, равенство возможностей и мобильность; Информация, внимание и смыслы</w:t>
            </w:r>
          </w:p>
        </w:tc>
      </w:tr>
      <w:tr>
        <w:trPr>
          <w:cantSplit/>
        </w:trPr>
        <w:tc>
          <w:tcPr>
            <w:tcW w:type="dxa" w:w="6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6"/>
              </w:rPr>
              <w:t>9–12</w:t>
            </w:r>
          </w:p>
        </w:tc>
        <w:tc>
          <w:tcPr>
            <w:tcW w:type="dxa" w:w="17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III. Природа и территория</w:t>
            </w:r>
          </w:p>
        </w:tc>
        <w:tc>
          <w:tcPr>
            <w:tcW w:type="dxa" w:w="277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Экологические и пространственные условия жизни настоящих и будущих поколений.</w:t>
            </w:r>
          </w:p>
        </w:tc>
        <w:tc>
          <w:tcPr>
            <w:tcW w:type="dxa" w:w="419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Биосфера, климат и биоразнообразие; Доступность и качество воды; Почвы, продовольствие и биопродуктивность; Расселение, мобильность и территориальная связность</w:t>
            </w:r>
          </w:p>
        </w:tc>
      </w:tr>
      <w:tr>
        <w:trPr>
          <w:cantSplit/>
        </w:trPr>
        <w:tc>
          <w:tcPr>
            <w:tcW w:type="dxa" w:w="6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6"/>
              </w:rPr>
              <w:t>13–16</w:t>
            </w:r>
          </w:p>
        </w:tc>
        <w:tc>
          <w:tcPr>
            <w:tcW w:type="dxa" w:w="17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IV. Экономика и технологии</w:t>
            </w:r>
          </w:p>
        </w:tc>
        <w:tc>
          <w:tcPr>
            <w:tcW w:type="dxa" w:w="277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Воспроизводство благ без переноса издержек на человека, природу и будущее.</w:t>
            </w:r>
          </w:p>
        </w:tc>
        <w:tc>
          <w:tcPr>
            <w:tcW w:type="dxa" w:w="419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Производство, потребление и циркулярность; Энергия, материалы и ресурсная эффективность; Финансы, инвестиции и длинный горизонт; Наука, технологии и цифровой суверенитет</w:t>
            </w:r>
          </w:p>
        </w:tc>
      </w:tr>
      <w:tr>
        <w:trPr>
          <w:cantSplit/>
        </w:trPr>
        <w:tc>
          <w:tcPr>
            <w:tcW w:type="dxa" w:w="6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6"/>
              </w:rPr>
              <w:t>17–19</w:t>
            </w:r>
          </w:p>
        </w:tc>
        <w:tc>
          <w:tcPr>
            <w:tcW w:type="dxa" w:w="17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V. Государство и мир</w:t>
            </w:r>
          </w:p>
        </w:tc>
        <w:tc>
          <w:tcPr>
            <w:tcW w:type="dxa" w:w="277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Институты, безопасность и международные правила, удерживающие систему от распада.</w:t>
            </w:r>
          </w:p>
        </w:tc>
        <w:tc>
          <w:tcPr>
            <w:tcW w:type="dxa" w:w="419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Институты, права и качество управления; Комплексная безопасность и суверенитет; Международный обмен, сотрудничество и мир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420"/>
        <w:gridCol w:w="7940"/>
      </w:tblGrid>
      <w:tr>
        <w:tc>
          <w:tcPr>
            <w:tcW w:type="dxa" w:w="142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</w:tcPr>
          <w:p>
            <w:pPr>
              <w:jc w:val="left"/>
            </w:pPr>
            <w:r>
              <w:rPr>
                <w:b/>
                <w:color w:val="FFFFFF"/>
                <w:sz w:val="18"/>
              </w:rPr>
              <w:t>СКВОЗНОЙ РЕГУЛЯТОР</w:t>
            </w:r>
          </w:p>
        </w:tc>
        <w:tc>
          <w:tcPr>
            <w:tcW w:type="dxa" w:w="7940"/>
            <w:tcMar>
              <w:top w:w="90" w:type="dxa"/>
              <w:start w:w="100" w:type="dxa"/>
              <w:bottom w:w="90" w:type="dxa"/>
              <w:end w:w="100" w:type="dxa"/>
            </w:tcMar>
            <w:shd w:fill="EEF5FC"/>
          </w:tcPr>
          <w:p>
            <w:pPr>
              <w:jc w:val="left"/>
            </w:pPr>
            <w:r>
              <w:rPr>
                <w:b w:val="0"/>
                <w:color w:val="1D2733"/>
                <w:sz w:val="20"/>
              </w:rPr>
              <w:t>Культура присутствует в каждой группе: формирует отношение к здоровью и труду, правилам и справедливости, природе и потреблению, знаниям и технологиям, безопасности и миру.</w:t>
            </w:r>
          </w:p>
        </w:tc>
      </w:tr>
    </w:tbl>
    <w:p>
      <w:pPr>
        <w:spacing w:after="0"/>
      </w:pPr>
    </w:p>
    <w:p>
      <w:pPr>
        <w:pageBreakBefore/>
        <w:spacing w:before="0" w:after="0" w:line="20" w:lineRule="exact"/>
      </w:pPr>
      <w:r>
        <w:rPr>
          <w:color w:val="FFFFFF"/>
          <w:sz w:val="2"/>
        </w:rPr>
        <w:t>​</w:t>
      </w:r>
    </w:p>
    <w:p>
      <w:pPr>
        <w:pStyle w:val="Heading1"/>
      </w:pPr>
      <w:r>
        <w:t>4.1  Человек</w:t>
      </w:r>
    </w:p>
    <w:p>
      <w:pPr>
        <w:pStyle w:val="Subtitle"/>
      </w:pPr>
      <w:r>
        <w:t>Конечные результаты развития, отраженные в возможностях человека.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750"/>
        <w:gridCol w:w="2090"/>
        <w:gridCol w:w="2080"/>
        <w:gridCol w:w="1700"/>
        <w:gridCol w:w="1740"/>
      </w:tblGrid>
      <w:tr>
        <w:trPr>
          <w:tblHeader w:val="true"/>
          <w:cantSplit/>
        </w:trPr>
        <w:tc>
          <w:tcPr>
            <w:tcW w:type="dxa" w:w="175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Баланс</w:t>
            </w:r>
          </w:p>
        </w:tc>
        <w:tc>
          <w:tcPr>
            <w:tcW w:type="dxa" w:w="209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Результат для человека</w:t>
            </w:r>
          </w:p>
        </w:tc>
        <w:tc>
          <w:tcPr>
            <w:tcW w:type="dxa" w:w="208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Опорные индикаторы</w:t>
            </w:r>
          </w:p>
        </w:tc>
        <w:tc>
          <w:tcPr>
            <w:tcW w:type="dxa" w:w="170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Культурный механизм</w:t>
            </w:r>
          </w:p>
        </w:tc>
        <w:tc>
          <w:tcPr>
            <w:tcW w:type="dxa" w:w="174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Красная линия</w:t>
            </w:r>
          </w:p>
        </w:tc>
      </w:tr>
      <w:tr>
        <w:trPr>
          <w:cantSplit/>
        </w:trPr>
        <w:tc>
          <w:tcPr>
            <w:tcW w:type="dxa" w:w="17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3"/>
              </w:rPr>
              <w:t>1. Поколения и демографическое воспроизводство</w:t>
            </w:r>
          </w:p>
        </w:tc>
        <w:tc>
          <w:tcPr>
            <w:tcW w:type="dxa" w:w="209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Возможность создавать семью и растить детей без потери достоинства и перспектив</w:t>
            </w:r>
          </w:p>
        </w:tc>
        <w:tc>
          <w:tcPr>
            <w:tcW w:type="dxa" w:w="208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суммарная рождаемость; ожидаемая продолжительность жизни; миграционный баланс; разрыв поколений</w:t>
            </w:r>
          </w:p>
        </w:tc>
        <w:tc>
          <w:tcPr>
            <w:tcW w:type="dxa" w:w="17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культура семьи, заботы и ответственности</w:t>
            </w:r>
          </w:p>
        </w:tc>
        <w:tc>
          <w:tcPr>
            <w:tcW w:type="dxa" w:w="174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длительное сжатие возрастной пирамиды; разрыв инфраструктуры ухода</w:t>
            </w:r>
          </w:p>
        </w:tc>
      </w:tr>
      <w:tr>
        <w:trPr>
          <w:cantSplit/>
        </w:trPr>
        <w:tc>
          <w:tcPr>
            <w:tcW w:type="dxa" w:w="17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3"/>
              </w:rPr>
              <w:t>2. Здоровье и активная здоровая жизнь</w:t>
            </w:r>
          </w:p>
        </w:tc>
        <w:tc>
          <w:tcPr>
            <w:tcW w:type="dxa" w:w="209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Физическое и психическое благополучие на протяжении жизненного пути</w:t>
            </w:r>
          </w:p>
        </w:tc>
        <w:tc>
          <w:tcPr>
            <w:tcW w:type="dxa" w:w="208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здоровая продолжительность жизни; предотвратимая смертность; доступность помощи; психическое здоровье</w:t>
            </w:r>
          </w:p>
        </w:tc>
        <w:tc>
          <w:tcPr>
            <w:tcW w:type="dxa" w:w="17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культура профилактики, телесности и взаимопомощи</w:t>
            </w:r>
          </w:p>
        </w:tc>
        <w:tc>
          <w:tcPr>
            <w:tcW w:type="dxa" w:w="174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падение базовой доступности помощи; рост предотвратимой смертности</w:t>
            </w:r>
          </w:p>
        </w:tc>
      </w:tr>
      <w:tr>
        <w:trPr>
          <w:cantSplit/>
        </w:trPr>
        <w:tc>
          <w:tcPr>
            <w:tcW w:type="dxa" w:w="17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3"/>
              </w:rPr>
              <w:t>3. Знания, образование и компетенции</w:t>
            </w:r>
          </w:p>
        </w:tc>
        <w:tc>
          <w:tcPr>
            <w:tcW w:type="dxa" w:w="209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Способность понимать мир, учиться и действовать</w:t>
            </w:r>
          </w:p>
        </w:tc>
        <w:tc>
          <w:tcPr>
            <w:tcW w:type="dxa" w:w="208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охват и результаты обучения; функциональная грамотность; доступ к культуре и науке; обучение взрослых</w:t>
            </w:r>
          </w:p>
        </w:tc>
        <w:tc>
          <w:tcPr>
            <w:tcW w:type="dxa" w:w="17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культура познания и наставничества</w:t>
            </w:r>
          </w:p>
        </w:tc>
        <w:tc>
          <w:tcPr>
            <w:tcW w:type="dxa" w:w="174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устойчивое исключение групп из образования; деградация базовых навыков</w:t>
            </w:r>
          </w:p>
        </w:tc>
      </w:tr>
      <w:tr>
        <w:trPr>
          <w:cantSplit/>
        </w:trPr>
        <w:tc>
          <w:tcPr>
            <w:tcW w:type="dxa" w:w="17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3"/>
              </w:rPr>
              <w:t>4. Труд, доход и личное время</w:t>
            </w:r>
          </w:p>
        </w:tc>
        <w:tc>
          <w:tcPr>
            <w:tcW w:type="dxa" w:w="209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Достойный труд, достаточный доход и время для семьи, культуры и развития</w:t>
            </w:r>
          </w:p>
        </w:tc>
        <w:tc>
          <w:tcPr>
            <w:tcW w:type="dxa" w:w="208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доля достойной занятости; медианный располагаемый доход; долговая нагрузка; баланс труда и времени</w:t>
            </w:r>
          </w:p>
        </w:tc>
        <w:tc>
          <w:tcPr>
            <w:tcW w:type="dxa" w:w="17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культура труда, мастерства и кооперации</w:t>
            </w:r>
          </w:p>
        </w:tc>
        <w:tc>
          <w:tcPr>
            <w:tcW w:type="dxa" w:w="174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работающая бедность; хроническая перегрузка и отсутствие времени на воспроизводство</w:t>
            </w:r>
          </w:p>
        </w:tc>
      </w:tr>
    </w:tbl>
    <w:p>
      <w:pPr>
        <w:spacing w:after="0"/>
      </w:pPr>
    </w:p>
    <w:p>
      <w:pPr>
        <w:pStyle w:val="Heading2"/>
      </w:pPr>
      <w:r>
        <w:t>Принцип интерпретации</w:t>
      </w:r>
    </w:p>
    <w:p>
      <w:r>
        <w:t>Демография, здоровье, образование и труд рассматриваются совместно: рост одного показателя не считается успехом, если он обеспечен перегрузкой, исключением или ухудшением жизненных перспектив других групп.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420"/>
        <w:gridCol w:w="7940"/>
      </w:tblGrid>
      <w:tr>
        <w:tc>
          <w:tcPr>
            <w:tcW w:type="dxa" w:w="142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</w:tcPr>
          <w:p>
            <w:pPr>
              <w:jc w:val="left"/>
            </w:pPr>
            <w:r>
              <w:rPr>
                <w:b/>
                <w:color w:val="FFFFFF"/>
                <w:sz w:val="18"/>
              </w:rPr>
              <w:t>ПРОВЕРКА РЕШЕНИЯ</w:t>
            </w:r>
          </w:p>
        </w:tc>
        <w:tc>
          <w:tcPr>
            <w:tcW w:type="dxa" w:w="7940"/>
            <w:tcMar>
              <w:top w:w="90" w:type="dxa"/>
              <w:start w:w="100" w:type="dxa"/>
              <w:bottom w:w="90" w:type="dxa"/>
              <w:end w:w="100" w:type="dxa"/>
            </w:tcMar>
            <w:shd w:fill="EEF5FC"/>
          </w:tcPr>
          <w:p>
            <w:pPr>
              <w:jc w:val="left"/>
            </w:pPr>
            <w:r>
              <w:rPr>
                <w:b w:val="0"/>
                <w:color w:val="1D2733"/>
                <w:sz w:val="20"/>
              </w:rPr>
              <w:t>Для группы «Человек» фиксируются: исходное состояние [Д], модель воздействия [Р], альтернативные сценарии [С], экспертные разногласия [Э] и выбранный нормативный коридор [Н].</w:t>
            </w:r>
          </w:p>
        </w:tc>
      </w:tr>
    </w:tbl>
    <w:p>
      <w:pPr>
        <w:spacing w:after="0"/>
      </w:pPr>
    </w:p>
    <w:p>
      <w:pPr>
        <w:pageBreakBefore/>
        <w:spacing w:before="0" w:after="0" w:line="20" w:lineRule="exact"/>
      </w:pPr>
      <w:r>
        <w:rPr>
          <w:color w:val="FFFFFF"/>
          <w:sz w:val="2"/>
        </w:rPr>
        <w:t>​</w:t>
      </w:r>
    </w:p>
    <w:p>
      <w:pPr>
        <w:pStyle w:val="Heading1"/>
      </w:pPr>
      <w:r>
        <w:t>4.2  Культура и общество</w:t>
      </w:r>
    </w:p>
    <w:p>
      <w:pPr>
        <w:pStyle w:val="Subtitle"/>
      </w:pPr>
      <w:r>
        <w:t>Механизмы смысловой связности, доверия и совместного действия.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750"/>
        <w:gridCol w:w="2090"/>
        <w:gridCol w:w="2080"/>
        <w:gridCol w:w="1700"/>
        <w:gridCol w:w="1740"/>
      </w:tblGrid>
      <w:tr>
        <w:trPr>
          <w:tblHeader w:val="true"/>
          <w:cantSplit/>
        </w:trPr>
        <w:tc>
          <w:tcPr>
            <w:tcW w:type="dxa" w:w="175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Баланс</w:t>
            </w:r>
          </w:p>
        </w:tc>
        <w:tc>
          <w:tcPr>
            <w:tcW w:type="dxa" w:w="209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Результат для человека</w:t>
            </w:r>
          </w:p>
        </w:tc>
        <w:tc>
          <w:tcPr>
            <w:tcW w:type="dxa" w:w="208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Опорные индикаторы</w:t>
            </w:r>
          </w:p>
        </w:tc>
        <w:tc>
          <w:tcPr>
            <w:tcW w:type="dxa" w:w="170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Культурный механизм</w:t>
            </w:r>
          </w:p>
        </w:tc>
        <w:tc>
          <w:tcPr>
            <w:tcW w:type="dxa" w:w="174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Красная линия</w:t>
            </w:r>
          </w:p>
        </w:tc>
      </w:tr>
      <w:tr>
        <w:trPr>
          <w:cantSplit/>
        </w:trPr>
        <w:tc>
          <w:tcPr>
            <w:tcW w:type="dxa" w:w="17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3"/>
              </w:rPr>
              <w:t>5. Ценности, идентичность и историческая память</w:t>
            </w:r>
          </w:p>
        </w:tc>
        <w:tc>
          <w:tcPr>
            <w:tcW w:type="dxa" w:w="209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Живая связь человека с наследием и способность создавать новое</w:t>
            </w:r>
          </w:p>
        </w:tc>
        <w:tc>
          <w:tcPr>
            <w:tcW w:type="dxa" w:w="208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участие в культуре; сохранность наследия; культурное разнообразие; межпоколенческая передача</w:t>
            </w:r>
          </w:p>
        </w:tc>
        <w:tc>
          <w:tcPr>
            <w:tcW w:type="dxa" w:w="17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сама предметная область баланса</w:t>
            </w:r>
          </w:p>
        </w:tc>
        <w:tc>
          <w:tcPr>
            <w:tcW w:type="dxa" w:w="174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разрушение наследия; насильственное исключение идентичностей</w:t>
            </w:r>
          </w:p>
        </w:tc>
      </w:tr>
      <w:tr>
        <w:trPr>
          <w:cantSplit/>
        </w:trPr>
        <w:tc>
          <w:tcPr>
            <w:tcW w:type="dxa" w:w="17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3"/>
              </w:rPr>
              <w:t>6. Доверие, солидарность и участие</w:t>
            </w:r>
          </w:p>
        </w:tc>
        <w:tc>
          <w:tcPr>
            <w:tcW w:type="dxa" w:w="209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Готовность сотрудничать, помогать и влиять на общее дело</w:t>
            </w:r>
          </w:p>
        </w:tc>
        <w:tc>
          <w:tcPr>
            <w:tcW w:type="dxa" w:w="208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межличностное и институциональное доверие; участие; волонтерство; плотность сообществ</w:t>
            </w:r>
          </w:p>
        </w:tc>
        <w:tc>
          <w:tcPr>
            <w:tcW w:type="dxa" w:w="17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культура диалога и соучастия</w:t>
            </w:r>
          </w:p>
        </w:tc>
        <w:tc>
          <w:tcPr>
            <w:tcW w:type="dxa" w:w="174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распад базовой кооперации; нормализация насилия</w:t>
            </w:r>
          </w:p>
        </w:tc>
      </w:tr>
      <w:tr>
        <w:trPr>
          <w:cantSplit/>
        </w:trPr>
        <w:tc>
          <w:tcPr>
            <w:tcW w:type="dxa" w:w="17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3"/>
              </w:rPr>
              <w:t>7. Справедливость, равенство возможностей и мобильность</w:t>
            </w:r>
          </w:p>
        </w:tc>
        <w:tc>
          <w:tcPr>
            <w:tcW w:type="dxa" w:w="209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Реальная возможность изменить жизненную траекторию</w:t>
            </w:r>
          </w:p>
        </w:tc>
        <w:tc>
          <w:tcPr>
            <w:tcW w:type="dxa" w:w="208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межпоколенческая мобильность; доступ к услугам; неравенство; дискриминационные разрывы</w:t>
            </w:r>
          </w:p>
        </w:tc>
        <w:tc>
          <w:tcPr>
            <w:tcW w:type="dxa" w:w="17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культура достоинства, права и взаимного признания</w:t>
            </w:r>
          </w:p>
        </w:tc>
        <w:tc>
          <w:tcPr>
            <w:tcW w:type="dxa" w:w="174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закрепление наследуемой исключенности; системная дискриминация</w:t>
            </w:r>
          </w:p>
        </w:tc>
      </w:tr>
      <w:tr>
        <w:trPr>
          <w:cantSplit/>
        </w:trPr>
        <w:tc>
          <w:tcPr>
            <w:tcW w:type="dxa" w:w="17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3"/>
              </w:rPr>
              <w:t>8. Информация, внимание и смыслы</w:t>
            </w:r>
          </w:p>
        </w:tc>
        <w:tc>
          <w:tcPr>
            <w:tcW w:type="dxa" w:w="209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Информационная среда, поддерживающая самостоятельное мышление</w:t>
            </w:r>
          </w:p>
        </w:tc>
        <w:tc>
          <w:tcPr>
            <w:tcW w:type="dxa" w:w="208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медиаграмотность; разнообразие источников; цифровое благополучие; дезинформация и поляризация</w:t>
            </w:r>
          </w:p>
        </w:tc>
        <w:tc>
          <w:tcPr>
            <w:tcW w:type="dxa" w:w="17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культура критического мышления и ответственной коммуникации</w:t>
            </w:r>
          </w:p>
        </w:tc>
        <w:tc>
          <w:tcPr>
            <w:tcW w:type="dxa" w:w="174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массовая манипуляция; разрушение способности к совместному факту</w:t>
            </w:r>
          </w:p>
        </w:tc>
      </w:tr>
    </w:tbl>
    <w:p>
      <w:pPr>
        <w:spacing w:after="0"/>
      </w:pPr>
    </w:p>
    <w:p>
      <w:pPr>
        <w:pStyle w:val="Heading2"/>
      </w:pPr>
      <w:r>
        <w:t>Принцип интерпретации</w:t>
      </w:r>
    </w:p>
    <w:p>
      <w:r>
        <w:t>Культурная связность не равна единообразию. Управляемый баланс поддерживает разнообразие, общий язык фактов, ненасильственный конфликт и способность к коллективному действию.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420"/>
        <w:gridCol w:w="7940"/>
      </w:tblGrid>
      <w:tr>
        <w:tc>
          <w:tcPr>
            <w:tcW w:type="dxa" w:w="142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</w:tcPr>
          <w:p>
            <w:pPr>
              <w:jc w:val="left"/>
            </w:pPr>
            <w:r>
              <w:rPr>
                <w:b/>
                <w:color w:val="FFFFFF"/>
                <w:sz w:val="18"/>
              </w:rPr>
              <w:t>ПРОВЕРКА РЕШЕНИЯ</w:t>
            </w:r>
          </w:p>
        </w:tc>
        <w:tc>
          <w:tcPr>
            <w:tcW w:type="dxa" w:w="7940"/>
            <w:tcMar>
              <w:top w:w="90" w:type="dxa"/>
              <w:start w:w="100" w:type="dxa"/>
              <w:bottom w:w="90" w:type="dxa"/>
              <w:end w:w="100" w:type="dxa"/>
            </w:tcMar>
            <w:shd w:fill="EEF5FC"/>
          </w:tcPr>
          <w:p>
            <w:pPr>
              <w:jc w:val="left"/>
            </w:pPr>
            <w:r>
              <w:rPr>
                <w:b w:val="0"/>
                <w:color w:val="1D2733"/>
                <w:sz w:val="20"/>
              </w:rPr>
              <w:t>Для группы «Культура и общество» фиксируются: исходное состояние [Д], модель воздействия [Р], альтернативные сценарии [С], экспертные разногласия [Э] и выбранный нормативный коридор [Н].</w:t>
            </w:r>
          </w:p>
        </w:tc>
      </w:tr>
    </w:tbl>
    <w:p>
      <w:pPr>
        <w:spacing w:after="0"/>
      </w:pPr>
    </w:p>
    <w:p>
      <w:pPr>
        <w:pageBreakBefore/>
        <w:spacing w:before="0" w:after="0" w:line="20" w:lineRule="exact"/>
      </w:pPr>
      <w:r>
        <w:rPr>
          <w:color w:val="FFFFFF"/>
          <w:sz w:val="2"/>
        </w:rPr>
        <w:t>​</w:t>
      </w:r>
    </w:p>
    <w:p>
      <w:pPr>
        <w:pStyle w:val="Heading1"/>
      </w:pPr>
      <w:r>
        <w:t>4.3  Природа и территория</w:t>
      </w:r>
    </w:p>
    <w:p>
      <w:pPr>
        <w:pStyle w:val="Subtitle"/>
      </w:pPr>
      <w:r>
        <w:t>Экологические и пространственные условия жизни настоящих и будущих поколений.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750"/>
        <w:gridCol w:w="2090"/>
        <w:gridCol w:w="2080"/>
        <w:gridCol w:w="1700"/>
        <w:gridCol w:w="1740"/>
      </w:tblGrid>
      <w:tr>
        <w:trPr>
          <w:tblHeader w:val="true"/>
          <w:cantSplit/>
        </w:trPr>
        <w:tc>
          <w:tcPr>
            <w:tcW w:type="dxa" w:w="175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Баланс</w:t>
            </w:r>
          </w:p>
        </w:tc>
        <w:tc>
          <w:tcPr>
            <w:tcW w:type="dxa" w:w="209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Результат для человека</w:t>
            </w:r>
          </w:p>
        </w:tc>
        <w:tc>
          <w:tcPr>
            <w:tcW w:type="dxa" w:w="208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Опорные индикаторы</w:t>
            </w:r>
          </w:p>
        </w:tc>
        <w:tc>
          <w:tcPr>
            <w:tcW w:type="dxa" w:w="170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Культурный механизм</w:t>
            </w:r>
          </w:p>
        </w:tc>
        <w:tc>
          <w:tcPr>
            <w:tcW w:type="dxa" w:w="174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Красная линия</w:t>
            </w:r>
          </w:p>
        </w:tc>
      </w:tr>
      <w:tr>
        <w:trPr>
          <w:cantSplit/>
        </w:trPr>
        <w:tc>
          <w:tcPr>
            <w:tcW w:type="dxa" w:w="17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3"/>
              </w:rPr>
              <w:t>9. Биосфера, климат и биоразнообразие</w:t>
            </w:r>
          </w:p>
        </w:tc>
        <w:tc>
          <w:tcPr>
            <w:tcW w:type="dxa" w:w="209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Безопасный экологический коридор и способность экосистем к восстановлению</w:t>
            </w:r>
          </w:p>
        </w:tc>
        <w:tc>
          <w:tcPr>
            <w:tcW w:type="dxa" w:w="208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выбросы; климатический риск; состояние экосистем; доля восстановленных территорий</w:t>
            </w:r>
          </w:p>
        </w:tc>
        <w:tc>
          <w:tcPr>
            <w:tcW w:type="dxa" w:w="17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культура соразмерности природе</w:t>
            </w:r>
          </w:p>
        </w:tc>
        <w:tc>
          <w:tcPr>
            <w:tcW w:type="dxa" w:w="174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пересечение локальных экологических пределов; необратимая утрата функций экосистем</w:t>
            </w:r>
          </w:p>
        </w:tc>
      </w:tr>
      <w:tr>
        <w:trPr>
          <w:cantSplit/>
        </w:trPr>
        <w:tc>
          <w:tcPr>
            <w:tcW w:type="dxa" w:w="17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3"/>
              </w:rPr>
              <w:t>10. Доступность и качество воды</w:t>
            </w:r>
          </w:p>
        </w:tc>
        <w:tc>
          <w:tcPr>
            <w:tcW w:type="dxa" w:w="209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Надежный и справедливый доступ к безопасной воде</w:t>
            </w:r>
          </w:p>
        </w:tc>
        <w:tc>
          <w:tcPr>
            <w:tcW w:type="dxa" w:w="208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водообеспеченность; качество; потери; доступ к безопасным услугам; бассейновый стресс</w:t>
            </w:r>
          </w:p>
        </w:tc>
        <w:tc>
          <w:tcPr>
            <w:tcW w:type="dxa" w:w="17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культура бережного водопользования</w:t>
            </w:r>
          </w:p>
        </w:tc>
        <w:tc>
          <w:tcPr>
            <w:tcW w:type="dxa" w:w="174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небезопасная вода; хроническое превышение воспроизводимого забора</w:t>
            </w:r>
          </w:p>
        </w:tc>
      </w:tr>
      <w:tr>
        <w:trPr>
          <w:cantSplit/>
        </w:trPr>
        <w:tc>
          <w:tcPr>
            <w:tcW w:type="dxa" w:w="17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3"/>
              </w:rPr>
              <w:t>11. Почвы, продовольствие и биопродуктивность</w:t>
            </w:r>
          </w:p>
        </w:tc>
        <w:tc>
          <w:tcPr>
            <w:tcW w:type="dxa" w:w="209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Здоровое питание при сохранении плодородия и устойчивости агросистем</w:t>
            </w:r>
          </w:p>
        </w:tc>
        <w:tc>
          <w:tcPr>
            <w:tcW w:type="dxa" w:w="208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доступность здорового рациона; качество почв; потери пищи; устойчивость урожайности</w:t>
            </w:r>
          </w:p>
        </w:tc>
        <w:tc>
          <w:tcPr>
            <w:tcW w:type="dxa" w:w="17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культура питания и земледелия</w:t>
            </w:r>
          </w:p>
        </w:tc>
        <w:tc>
          <w:tcPr>
            <w:tcW w:type="dxa" w:w="174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голод; деградация почв ниже порога восстановления</w:t>
            </w:r>
          </w:p>
        </w:tc>
      </w:tr>
      <w:tr>
        <w:trPr>
          <w:cantSplit/>
        </w:trPr>
        <w:tc>
          <w:tcPr>
            <w:tcW w:type="dxa" w:w="17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3"/>
              </w:rPr>
              <w:t>12. Расселение, мобильность и территориальная связность</w:t>
            </w:r>
          </w:p>
        </w:tc>
        <w:tc>
          <w:tcPr>
            <w:tcW w:type="dxa" w:w="209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Доступ к возможностям независимо от места проживания</w:t>
            </w:r>
          </w:p>
        </w:tc>
        <w:tc>
          <w:tcPr>
            <w:tcW w:type="dxa" w:w="208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время доступности услуг; транспортная связанность; качество среды; пространственная сегрегация</w:t>
            </w:r>
          </w:p>
        </w:tc>
        <w:tc>
          <w:tcPr>
            <w:tcW w:type="dxa" w:w="17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культура места, соседства и маршрутов</w:t>
            </w:r>
          </w:p>
        </w:tc>
        <w:tc>
          <w:tcPr>
            <w:tcW w:type="dxa" w:w="174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территориальная изоляция; недоступность базовых услуг</w:t>
            </w:r>
          </w:p>
        </w:tc>
      </w:tr>
    </w:tbl>
    <w:p>
      <w:pPr>
        <w:spacing w:after="0"/>
      </w:pPr>
    </w:p>
    <w:p>
      <w:pPr>
        <w:pStyle w:val="Heading2"/>
      </w:pPr>
      <w:r>
        <w:t>Принцип интерпретации</w:t>
      </w:r>
    </w:p>
    <w:p>
      <w:r>
        <w:t>Природные системы задают биофизические пределы, а территориальная организация определяет, кто получает доступ к благам и кто несет экологическую нагрузку.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420"/>
        <w:gridCol w:w="7940"/>
      </w:tblGrid>
      <w:tr>
        <w:tc>
          <w:tcPr>
            <w:tcW w:type="dxa" w:w="142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</w:tcPr>
          <w:p>
            <w:pPr>
              <w:jc w:val="left"/>
            </w:pPr>
            <w:r>
              <w:rPr>
                <w:b/>
                <w:color w:val="FFFFFF"/>
                <w:sz w:val="18"/>
              </w:rPr>
              <w:t>ПРОВЕРКА РЕШЕНИЯ</w:t>
            </w:r>
          </w:p>
        </w:tc>
        <w:tc>
          <w:tcPr>
            <w:tcW w:type="dxa" w:w="7940"/>
            <w:tcMar>
              <w:top w:w="90" w:type="dxa"/>
              <w:start w:w="100" w:type="dxa"/>
              <w:bottom w:w="90" w:type="dxa"/>
              <w:end w:w="100" w:type="dxa"/>
            </w:tcMar>
            <w:shd w:fill="EEF5FC"/>
          </w:tcPr>
          <w:p>
            <w:pPr>
              <w:jc w:val="left"/>
            </w:pPr>
            <w:r>
              <w:rPr>
                <w:b w:val="0"/>
                <w:color w:val="1D2733"/>
                <w:sz w:val="20"/>
              </w:rPr>
              <w:t>Для группы «Природа и территория» фиксируются: исходное состояние [Д], модель воздействия [Р], альтернативные сценарии [С], экспертные разногласия [Э] и выбранный нормативный коридор [Н].</w:t>
            </w:r>
          </w:p>
        </w:tc>
      </w:tr>
    </w:tbl>
    <w:p>
      <w:pPr>
        <w:spacing w:after="0"/>
      </w:pPr>
    </w:p>
    <w:p>
      <w:pPr>
        <w:pageBreakBefore/>
        <w:spacing w:before="0" w:after="0" w:line="20" w:lineRule="exact"/>
      </w:pPr>
      <w:r>
        <w:rPr>
          <w:color w:val="FFFFFF"/>
          <w:sz w:val="2"/>
        </w:rPr>
        <w:t>​</w:t>
      </w:r>
    </w:p>
    <w:p>
      <w:pPr>
        <w:pStyle w:val="Heading1"/>
      </w:pPr>
      <w:r>
        <w:t>4.4  Экономика и технологии</w:t>
      </w:r>
    </w:p>
    <w:p>
      <w:pPr>
        <w:pStyle w:val="Subtitle"/>
      </w:pPr>
      <w:r>
        <w:t>Воспроизводство благ без переноса издержек на человека, природу и будущее.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750"/>
        <w:gridCol w:w="2090"/>
        <w:gridCol w:w="2080"/>
        <w:gridCol w:w="1700"/>
        <w:gridCol w:w="1740"/>
      </w:tblGrid>
      <w:tr>
        <w:trPr>
          <w:tblHeader w:val="true"/>
          <w:cantSplit/>
        </w:trPr>
        <w:tc>
          <w:tcPr>
            <w:tcW w:type="dxa" w:w="175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Баланс</w:t>
            </w:r>
          </w:p>
        </w:tc>
        <w:tc>
          <w:tcPr>
            <w:tcW w:type="dxa" w:w="209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Результат для человека</w:t>
            </w:r>
          </w:p>
        </w:tc>
        <w:tc>
          <w:tcPr>
            <w:tcW w:type="dxa" w:w="208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Опорные индикаторы</w:t>
            </w:r>
          </w:p>
        </w:tc>
        <w:tc>
          <w:tcPr>
            <w:tcW w:type="dxa" w:w="170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Культурный механизм</w:t>
            </w:r>
          </w:p>
        </w:tc>
        <w:tc>
          <w:tcPr>
            <w:tcW w:type="dxa" w:w="174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Красная линия</w:t>
            </w:r>
          </w:p>
        </w:tc>
      </w:tr>
      <w:tr>
        <w:trPr>
          <w:cantSplit/>
        </w:trPr>
        <w:tc>
          <w:tcPr>
            <w:tcW w:type="dxa" w:w="17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3"/>
              </w:rPr>
              <w:t>13. Производство, потребление и циркулярность</w:t>
            </w:r>
          </w:p>
        </w:tc>
        <w:tc>
          <w:tcPr>
            <w:tcW w:type="dxa" w:w="209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Удовлетворение потребностей при минимизации отходов и скрытых издержек</w:t>
            </w:r>
          </w:p>
        </w:tc>
        <w:tc>
          <w:tcPr>
            <w:tcW w:type="dxa" w:w="208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ресурсоемкость; ремонтопригодность; повторное использование; материальный след; отходы</w:t>
            </w:r>
          </w:p>
        </w:tc>
        <w:tc>
          <w:tcPr>
            <w:tcW w:type="dxa" w:w="17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культура качества, достаточности и ремонта</w:t>
            </w:r>
          </w:p>
        </w:tc>
        <w:tc>
          <w:tcPr>
            <w:tcW w:type="dxa" w:w="174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рост материального следа при ухудшении качества жизни; токсичные потоки</w:t>
            </w:r>
          </w:p>
        </w:tc>
      </w:tr>
      <w:tr>
        <w:trPr>
          <w:cantSplit/>
        </w:trPr>
        <w:tc>
          <w:tcPr>
            <w:tcW w:type="dxa" w:w="17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3"/>
              </w:rPr>
              <w:t>14. Энергия, материалы и ресурсная эффективность</w:t>
            </w:r>
          </w:p>
        </w:tc>
        <w:tc>
          <w:tcPr>
            <w:tcW w:type="dxa" w:w="209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Надежное снабжение в пределах экологической и технологической безопасности</w:t>
            </w:r>
          </w:p>
        </w:tc>
        <w:tc>
          <w:tcPr>
            <w:tcW w:type="dxa" w:w="208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энергоемкость; доля чистой энергии; критические материалы; потери; устойчивость сетей</w:t>
            </w:r>
          </w:p>
        </w:tc>
        <w:tc>
          <w:tcPr>
            <w:tcW w:type="dxa" w:w="17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культура энергетической ответственности</w:t>
            </w:r>
          </w:p>
        </w:tc>
        <w:tc>
          <w:tcPr>
            <w:tcW w:type="dxa" w:w="174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структурный дефицит; опасная зависимость без резервов и замещения</w:t>
            </w:r>
          </w:p>
        </w:tc>
      </w:tr>
      <w:tr>
        <w:trPr>
          <w:cantSplit/>
        </w:trPr>
        <w:tc>
          <w:tcPr>
            <w:tcW w:type="dxa" w:w="17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3"/>
              </w:rPr>
              <w:t>15. Финансы, инвестиции и длинный горизонт</w:t>
            </w:r>
          </w:p>
        </w:tc>
        <w:tc>
          <w:tcPr>
            <w:tcW w:type="dxa" w:w="209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Капитал, поддерживающий жизнеспособность, а не краткосрочное извлечение</w:t>
            </w:r>
          </w:p>
        </w:tc>
        <w:tc>
          <w:tcPr>
            <w:tcW w:type="dxa" w:w="208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доля долгосрочных инвестиций; стоимость капитала; устойчивость долга; учет внешних эффектов</w:t>
            </w:r>
          </w:p>
        </w:tc>
        <w:tc>
          <w:tcPr>
            <w:tcW w:type="dxa" w:w="17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культура ответственного владения</w:t>
            </w:r>
          </w:p>
        </w:tc>
        <w:tc>
          <w:tcPr>
            <w:tcW w:type="dxa" w:w="174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финансовая хрупкость; систематическое недофинансирование общественных благ</w:t>
            </w:r>
          </w:p>
        </w:tc>
      </w:tr>
      <w:tr>
        <w:trPr>
          <w:cantSplit/>
        </w:trPr>
        <w:tc>
          <w:tcPr>
            <w:tcW w:type="dxa" w:w="17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3"/>
              </w:rPr>
              <w:t>16. Наука, технологии и цифровой суверенитет</w:t>
            </w:r>
          </w:p>
        </w:tc>
        <w:tc>
          <w:tcPr>
            <w:tcW w:type="dxa" w:w="209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Технологии, расширяющие способности человека и управляемые обществом</w:t>
            </w:r>
          </w:p>
        </w:tc>
        <w:tc>
          <w:tcPr>
            <w:tcW w:type="dxa" w:w="208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НИОКР; доступ к инфраструктуре; безопасность данных; технологическая диверсификация; диффузия инноваций</w:t>
            </w:r>
          </w:p>
        </w:tc>
        <w:tc>
          <w:tcPr>
            <w:tcW w:type="dxa" w:w="17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культура исследования и этики технологии</w:t>
            </w:r>
          </w:p>
        </w:tc>
        <w:tc>
          <w:tcPr>
            <w:tcW w:type="dxa" w:w="174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потеря контроля над критической инфраструктурой; дискриминация алгоритмами</w:t>
            </w:r>
          </w:p>
        </w:tc>
      </w:tr>
    </w:tbl>
    <w:p>
      <w:pPr>
        <w:spacing w:after="0"/>
      </w:pPr>
    </w:p>
    <w:p>
      <w:pPr>
        <w:pStyle w:val="Heading2"/>
      </w:pPr>
      <w:r>
        <w:t>Принцип интерпретации</w:t>
      </w:r>
    </w:p>
    <w:p>
      <w:r>
        <w:t>Экономический и технологический прогресс оценивается по тому, расширяет ли он человеческие способности при снижении материального следа, рисков зависимости и переноса издержек в будущее.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420"/>
        <w:gridCol w:w="7940"/>
      </w:tblGrid>
      <w:tr>
        <w:tc>
          <w:tcPr>
            <w:tcW w:type="dxa" w:w="142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</w:tcPr>
          <w:p>
            <w:pPr>
              <w:jc w:val="left"/>
            </w:pPr>
            <w:r>
              <w:rPr>
                <w:b/>
                <w:color w:val="FFFFFF"/>
                <w:sz w:val="18"/>
              </w:rPr>
              <w:t>ПРОВЕРКА РЕШЕНИЯ</w:t>
            </w:r>
          </w:p>
        </w:tc>
        <w:tc>
          <w:tcPr>
            <w:tcW w:type="dxa" w:w="7940"/>
            <w:tcMar>
              <w:top w:w="90" w:type="dxa"/>
              <w:start w:w="100" w:type="dxa"/>
              <w:bottom w:w="90" w:type="dxa"/>
              <w:end w:w="100" w:type="dxa"/>
            </w:tcMar>
            <w:shd w:fill="EEF5FC"/>
          </w:tcPr>
          <w:p>
            <w:pPr>
              <w:jc w:val="left"/>
            </w:pPr>
            <w:r>
              <w:rPr>
                <w:b w:val="0"/>
                <w:color w:val="1D2733"/>
                <w:sz w:val="20"/>
              </w:rPr>
              <w:t>Для группы «Экономика и технологии» фиксируются: исходное состояние [Д], модель воздействия [Р], альтернативные сценарии [С], экспертные разногласия [Э] и выбранный нормативный коридор [Н].</w:t>
            </w:r>
          </w:p>
        </w:tc>
      </w:tr>
    </w:tbl>
    <w:p>
      <w:pPr>
        <w:spacing w:after="0"/>
      </w:pPr>
    </w:p>
    <w:p>
      <w:pPr>
        <w:pageBreakBefore/>
        <w:spacing w:before="0" w:after="0" w:line="20" w:lineRule="exact"/>
      </w:pPr>
      <w:r>
        <w:rPr>
          <w:color w:val="FFFFFF"/>
          <w:sz w:val="2"/>
        </w:rPr>
        <w:t>​</w:t>
      </w:r>
    </w:p>
    <w:p>
      <w:pPr>
        <w:pStyle w:val="Heading1"/>
      </w:pPr>
      <w:r>
        <w:t>4.5  Государство и мир</w:t>
      </w:r>
    </w:p>
    <w:p>
      <w:pPr>
        <w:pStyle w:val="Subtitle"/>
      </w:pPr>
      <w:r>
        <w:t>Институты, безопасность и международные правила, удерживающие систему от распада.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750"/>
        <w:gridCol w:w="2090"/>
        <w:gridCol w:w="2080"/>
        <w:gridCol w:w="1700"/>
        <w:gridCol w:w="1740"/>
      </w:tblGrid>
      <w:tr>
        <w:trPr>
          <w:tblHeader w:val="true"/>
          <w:cantSplit/>
        </w:trPr>
        <w:tc>
          <w:tcPr>
            <w:tcW w:type="dxa" w:w="175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Баланс</w:t>
            </w:r>
          </w:p>
        </w:tc>
        <w:tc>
          <w:tcPr>
            <w:tcW w:type="dxa" w:w="209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Результат для человека</w:t>
            </w:r>
          </w:p>
        </w:tc>
        <w:tc>
          <w:tcPr>
            <w:tcW w:type="dxa" w:w="208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Опорные индикаторы</w:t>
            </w:r>
          </w:p>
        </w:tc>
        <w:tc>
          <w:tcPr>
            <w:tcW w:type="dxa" w:w="170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Культурный механизм</w:t>
            </w:r>
          </w:p>
        </w:tc>
        <w:tc>
          <w:tcPr>
            <w:tcW w:type="dxa" w:w="174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Красная линия</w:t>
            </w:r>
          </w:p>
        </w:tc>
      </w:tr>
      <w:tr>
        <w:trPr>
          <w:cantSplit/>
        </w:trPr>
        <w:tc>
          <w:tcPr>
            <w:tcW w:type="dxa" w:w="17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3"/>
              </w:rPr>
              <w:t>17. Институты, права и качество управления</w:t>
            </w:r>
          </w:p>
        </w:tc>
        <w:tc>
          <w:tcPr>
            <w:tcW w:type="dxa" w:w="209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Предсказуемые правила, защита достоинства и способность реализовывать решения</w:t>
            </w:r>
          </w:p>
        </w:tc>
        <w:tc>
          <w:tcPr>
            <w:tcW w:type="dxa" w:w="208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качество услуг; соблюдение прав; исполнение решений; открытость; обратная связь</w:t>
            </w:r>
          </w:p>
        </w:tc>
        <w:tc>
          <w:tcPr>
            <w:tcW w:type="dxa" w:w="17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культура служения, законности и доказательности</w:t>
            </w:r>
          </w:p>
        </w:tc>
        <w:tc>
          <w:tcPr>
            <w:tcW w:type="dxa" w:w="174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произвольность; утрата базовой дееспособности институтов</w:t>
            </w:r>
          </w:p>
        </w:tc>
      </w:tr>
      <w:tr>
        <w:trPr>
          <w:cantSplit/>
        </w:trPr>
        <w:tc>
          <w:tcPr>
            <w:tcW w:type="dxa" w:w="17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3"/>
              </w:rPr>
              <w:t>18. Комплексная безопасность и суверенитет</w:t>
            </w:r>
          </w:p>
        </w:tc>
        <w:tc>
          <w:tcPr>
            <w:tcW w:type="dxa" w:w="209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Защищенность человека и непрерывность жизненно важных функций</w:t>
            </w:r>
          </w:p>
        </w:tc>
        <w:tc>
          <w:tcPr>
            <w:tcW w:type="dxa" w:w="208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риски для жизни; устойчивость инфраструктур; готовность; кибер- и биобезопасность; доверие к защите</w:t>
            </w:r>
          </w:p>
        </w:tc>
        <w:tc>
          <w:tcPr>
            <w:tcW w:type="dxa" w:w="17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культура готовности без милитаризации повседневности</w:t>
            </w:r>
          </w:p>
        </w:tc>
        <w:tc>
          <w:tcPr>
            <w:tcW w:type="dxa" w:w="174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массовая угроза жизни; отказ критических систем</w:t>
            </w:r>
          </w:p>
        </w:tc>
      </w:tr>
      <w:tr>
        <w:trPr>
          <w:cantSplit/>
        </w:trPr>
        <w:tc>
          <w:tcPr>
            <w:tcW w:type="dxa" w:w="17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3"/>
              </w:rPr>
              <w:t>19. Международный обмен, сотрудничество и мир</w:t>
            </w:r>
          </w:p>
        </w:tc>
        <w:tc>
          <w:tcPr>
            <w:tcW w:type="dxa" w:w="209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Возможность развиваться через обмен без зависимости, принуждения и войны</w:t>
            </w:r>
          </w:p>
        </w:tc>
        <w:tc>
          <w:tcPr>
            <w:tcW w:type="dxa" w:w="208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конфликтность; гуманитарные потоки; обмен знаниями; договороспособность; взаимная устойчивость цепочек</w:t>
            </w:r>
          </w:p>
        </w:tc>
        <w:tc>
          <w:tcPr>
            <w:tcW w:type="dxa" w:w="17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культура мира и межцивилизационного уважения</w:t>
            </w:r>
          </w:p>
        </w:tc>
        <w:tc>
          <w:tcPr>
            <w:tcW w:type="dxa" w:w="174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3"/>
              </w:rPr>
              <w:t>война и массовое перемещение; разрыв жизненно важных обменов</w:t>
            </w:r>
          </w:p>
        </w:tc>
      </w:tr>
    </w:tbl>
    <w:p>
      <w:pPr>
        <w:spacing w:after="0"/>
      </w:pPr>
    </w:p>
    <w:p>
      <w:pPr>
        <w:pStyle w:val="Heading2"/>
      </w:pPr>
      <w:r>
        <w:t>Принцип интерпретации</w:t>
      </w:r>
    </w:p>
    <w:p>
      <w:r>
        <w:t>Без дееспособных институтов, комплексной безопасности и международной договороспособности остальные балансы остаются незащищенными. При этом безопасность ограничена правами и достоинством человека.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420"/>
        <w:gridCol w:w="7940"/>
      </w:tblGrid>
      <w:tr>
        <w:tc>
          <w:tcPr>
            <w:tcW w:type="dxa" w:w="142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</w:tcPr>
          <w:p>
            <w:pPr>
              <w:jc w:val="left"/>
            </w:pPr>
            <w:r>
              <w:rPr>
                <w:b/>
                <w:color w:val="FFFFFF"/>
                <w:sz w:val="18"/>
              </w:rPr>
              <w:t>ПРОВЕРКА РЕШЕНИЯ</w:t>
            </w:r>
          </w:p>
        </w:tc>
        <w:tc>
          <w:tcPr>
            <w:tcW w:type="dxa" w:w="7940"/>
            <w:tcMar>
              <w:top w:w="90" w:type="dxa"/>
              <w:start w:w="100" w:type="dxa"/>
              <w:bottom w:w="90" w:type="dxa"/>
              <w:end w:w="100" w:type="dxa"/>
            </w:tcMar>
            <w:shd w:fill="EEF5FC"/>
          </w:tcPr>
          <w:p>
            <w:pPr>
              <w:jc w:val="left"/>
            </w:pPr>
            <w:r>
              <w:rPr>
                <w:b w:val="0"/>
                <w:color w:val="1D2733"/>
                <w:sz w:val="20"/>
              </w:rPr>
              <w:t>Для группы «Государство и мир» фиксируются: исходное состояние [Д], модель воздействия [Р], альтернативные сценарии [С], экспертные разногласия [Э] и выбранный нормативный коридор [Н].</w:t>
            </w:r>
          </w:p>
        </w:tc>
      </w:tr>
    </w:tbl>
    <w:p>
      <w:pPr>
        <w:spacing w:after="0"/>
      </w:pPr>
    </w:p>
    <w:p>
      <w:pPr>
        <w:pageBreakBefore/>
        <w:spacing w:before="0" w:after="0" w:line="20" w:lineRule="exact"/>
      </w:pPr>
      <w:r>
        <w:rPr>
          <w:color w:val="FFFFFF"/>
          <w:sz w:val="2"/>
        </w:rPr>
        <w:t>​</w:t>
      </w:r>
    </w:p>
    <w:p>
      <w:pPr>
        <w:pStyle w:val="Heading1"/>
      </w:pPr>
      <w:r>
        <w:t>5  Причинная модель и каскады</w:t>
      </w:r>
    </w:p>
    <w:p>
      <w:pPr>
        <w:pStyle w:val="Subtitle"/>
      </w:pPr>
      <w:r>
        <w:t>Управлять нужно не отдельными значениями, а контурами обратной связи</w:t>
      </w:r>
    </w:p>
    <w:p>
      <w:pPr>
        <w:pStyle w:val="Heading2"/>
      </w:pPr>
      <w:r>
        <w:t>Созидательные петли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500"/>
        <w:gridCol w:w="1500"/>
        <w:gridCol w:w="1450"/>
        <w:gridCol w:w="1650"/>
        <w:gridCol w:w="1700"/>
        <w:gridCol w:w="1560"/>
      </w:tblGrid>
      <w:tr>
        <w:trPr>
          <w:tblHeader w:val="true"/>
          <w:cantSplit/>
        </w:trPr>
        <w:tc>
          <w:tcPr>
            <w:tcW w:type="dxa" w:w="150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Пусковой механизм</w:t>
            </w:r>
          </w:p>
        </w:tc>
        <w:tc>
          <w:tcPr>
            <w:tcW w:type="dxa" w:w="150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Шаг 2</w:t>
            </w:r>
          </w:p>
        </w:tc>
        <w:tc>
          <w:tcPr>
            <w:tcW w:type="dxa" w:w="145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Шаг 3</w:t>
            </w:r>
          </w:p>
        </w:tc>
        <w:tc>
          <w:tcPr>
            <w:tcW w:type="dxa" w:w="165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Шаг 4</w:t>
            </w:r>
          </w:p>
        </w:tc>
        <w:tc>
          <w:tcPr>
            <w:tcW w:type="dxa" w:w="170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Шаг 5</w:t>
            </w:r>
          </w:p>
        </w:tc>
        <w:tc>
          <w:tcPr>
            <w:tcW w:type="dxa" w:w="156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Возврат</w:t>
            </w:r>
          </w:p>
        </w:tc>
      </w:tr>
      <w:tr>
        <w:trPr>
          <w:cantSplit/>
        </w:trPr>
        <w:tc>
          <w:tcPr>
            <w:tcW w:type="dxa" w:w="15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5"/>
              </w:rPr>
              <w:t>Культурное участие</w:t>
            </w:r>
          </w:p>
        </w:tc>
        <w:tc>
          <w:tcPr>
            <w:tcW w:type="dxa" w:w="15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принадлежность и смысл</w:t>
            </w:r>
          </w:p>
        </w:tc>
        <w:tc>
          <w:tcPr>
            <w:tcW w:type="dxa" w:w="14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доверие</w:t>
            </w:r>
          </w:p>
        </w:tc>
        <w:tc>
          <w:tcPr>
            <w:tcW w:type="dxa" w:w="16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кооперация</w:t>
            </w:r>
          </w:p>
        </w:tc>
        <w:tc>
          <w:tcPr>
            <w:tcW w:type="dxa" w:w="17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качество институтов</w:t>
            </w:r>
          </w:p>
        </w:tc>
        <w:tc>
          <w:tcPr>
            <w:tcW w:type="dxa" w:w="15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успешные общие проекты</w:t>
            </w:r>
          </w:p>
        </w:tc>
      </w:tr>
      <w:tr>
        <w:trPr>
          <w:cantSplit/>
        </w:trPr>
        <w:tc>
          <w:tcPr>
            <w:tcW w:type="dxa" w:w="15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5"/>
              </w:rPr>
              <w:t>Культура знания</w:t>
            </w:r>
          </w:p>
        </w:tc>
        <w:tc>
          <w:tcPr>
            <w:tcW w:type="dxa" w:w="15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образование</w:t>
            </w:r>
          </w:p>
        </w:tc>
        <w:tc>
          <w:tcPr>
            <w:tcW w:type="dxa" w:w="14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наука и технология</w:t>
            </w:r>
          </w:p>
        </w:tc>
        <w:tc>
          <w:tcPr>
            <w:tcW w:type="dxa" w:w="16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продуктивность</w:t>
            </w:r>
          </w:p>
        </w:tc>
        <w:tc>
          <w:tcPr>
            <w:tcW w:type="dxa" w:w="17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ресурсы для общественных благ</w:t>
            </w:r>
          </w:p>
        </w:tc>
        <w:tc>
          <w:tcPr>
            <w:tcW w:type="dxa" w:w="156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здоровье, культура и образование</w:t>
            </w:r>
          </w:p>
        </w:tc>
      </w:tr>
      <w:tr>
        <w:trPr>
          <w:cantSplit/>
        </w:trPr>
        <w:tc>
          <w:tcPr>
            <w:tcW w:type="dxa" w:w="15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5"/>
              </w:rPr>
              <w:t>Экологическая культура</w:t>
            </w:r>
          </w:p>
        </w:tc>
        <w:tc>
          <w:tcPr>
            <w:tcW w:type="dxa" w:w="15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потребление и производство</w:t>
            </w:r>
          </w:p>
        </w:tc>
        <w:tc>
          <w:tcPr>
            <w:tcW w:type="dxa" w:w="14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ресурсная эффективность</w:t>
            </w:r>
          </w:p>
        </w:tc>
        <w:tc>
          <w:tcPr>
            <w:tcW w:type="dxa" w:w="16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восстановление экосистем</w:t>
            </w:r>
          </w:p>
        </w:tc>
        <w:tc>
          <w:tcPr>
            <w:tcW w:type="dxa" w:w="17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здоровье и продовольствие</w:t>
            </w:r>
          </w:p>
        </w:tc>
        <w:tc>
          <w:tcPr>
            <w:tcW w:type="dxa" w:w="15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долгий горизонт</w:t>
            </w:r>
          </w:p>
        </w:tc>
      </w:tr>
    </w:tbl>
    <w:p>
      <w:pPr>
        <w:spacing w:after="0"/>
      </w:pPr>
    </w:p>
    <w:p>
      <w:pPr>
        <w:pStyle w:val="Heading2"/>
      </w:pPr>
      <w:r>
        <w:t>Разрушительная петля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420"/>
        <w:gridCol w:w="7940"/>
      </w:tblGrid>
      <w:tr>
        <w:tc>
          <w:tcPr>
            <w:tcW w:type="dxa" w:w="142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</w:tcPr>
          <w:p>
            <w:pPr>
              <w:jc w:val="left"/>
            </w:pPr>
            <w:r>
              <w:rPr>
                <w:b/>
                <w:color w:val="FFFFFF"/>
                <w:sz w:val="18"/>
              </w:rPr>
              <w:t>КАСКАД</w:t>
            </w:r>
          </w:p>
        </w:tc>
        <w:tc>
          <w:tcPr>
            <w:tcW w:type="dxa" w:w="7940"/>
            <w:tcMar>
              <w:top w:w="90" w:type="dxa"/>
              <w:start w:w="100" w:type="dxa"/>
              <w:bottom w:w="90" w:type="dxa"/>
              <w:end w:w="100" w:type="dxa"/>
            </w:tcMar>
            <w:shd w:fill="F9EEEE"/>
          </w:tcPr>
          <w:p>
            <w:pPr>
              <w:jc w:val="left"/>
            </w:pPr>
            <w:r>
              <w:rPr>
                <w:b w:val="0"/>
                <w:color w:val="1D2733"/>
                <w:sz w:val="20"/>
              </w:rPr>
              <w:t>Неравенство и потеря перспектив → недоверие → поляризация → дегуманизация → конфликт → разрушение институтов и инфраструктуры → новое неравенство.</w:t>
            </w:r>
          </w:p>
        </w:tc>
      </w:tr>
    </w:tbl>
    <w:p>
      <w:pPr>
        <w:spacing w:after="0"/>
      </w:pPr>
    </w:p>
    <w:p>
      <w:pPr>
        <w:pStyle w:val="Heading2"/>
      </w:pPr>
      <w:r>
        <w:t>Правила причинного анализа</w:t>
      </w:r>
    </w:p>
    <w:p>
      <w:pPr>
        <w:pStyle w:val="ListBullet"/>
      </w:pPr>
      <w:r>
        <w:t>различать корреляцию, механизм и доказанную причинность;</w:t>
      </w:r>
    </w:p>
    <w:p>
      <w:pPr>
        <w:pStyle w:val="ListBullet"/>
      </w:pPr>
      <w:r>
        <w:t>фиксировать временные лаги: культурные и демографические эффекты часто проявляются позже бюджетного цикла;</w:t>
      </w:r>
    </w:p>
    <w:p>
      <w:pPr>
        <w:pStyle w:val="ListBullet"/>
      </w:pPr>
      <w:r>
        <w:t>проверять неоднородность эффекта по группам и территориям;</w:t>
      </w:r>
    </w:p>
    <w:p>
      <w:pPr>
        <w:pStyle w:val="ListBullet"/>
      </w:pPr>
      <w:r>
        <w:t>моделировать обратные связи, пороги, необратимость и возможность адаптации;</w:t>
      </w:r>
    </w:p>
    <w:p>
      <w:pPr>
        <w:pStyle w:val="ListBullet"/>
      </w:pPr>
      <w:r>
        <w:t>сравнивать не только основной сценарий, но и реалистичную альтернативу без вмешательства.</w:t>
      </w:r>
    </w:p>
    <w:p>
      <w:pPr>
        <w:pageBreakBefore/>
        <w:spacing w:before="0" w:after="0" w:line="20" w:lineRule="exact"/>
      </w:pPr>
      <w:r>
        <w:rPr>
          <w:color w:val="FFFFFF"/>
          <w:sz w:val="2"/>
        </w:rPr>
        <w:t>​</w:t>
      </w:r>
    </w:p>
    <w:p>
      <w:pPr>
        <w:pStyle w:val="Heading1"/>
      </w:pPr>
      <w:r>
        <w:t>5.1  Как локальный дефицит становится системным</w:t>
      </w:r>
    </w:p>
    <w:p>
      <w:pPr>
        <w:pStyle w:val="Subtitle"/>
      </w:pPr>
      <w:r>
        <w:t>Примеры цепочек для раннего предупреждения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300"/>
        <w:gridCol w:w="1550"/>
        <w:gridCol w:w="1600"/>
        <w:gridCol w:w="1500"/>
        <w:gridCol w:w="1450"/>
        <w:gridCol w:w="1960"/>
      </w:tblGrid>
      <w:tr>
        <w:trPr>
          <w:tblHeader w:val="true"/>
          <w:cantSplit/>
        </w:trPr>
        <w:tc>
          <w:tcPr>
            <w:tcW w:type="dxa" w:w="130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Триггер</w:t>
            </w:r>
          </w:p>
        </w:tc>
        <w:tc>
          <w:tcPr>
            <w:tcW w:type="dxa" w:w="155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Начальный дефицит</w:t>
            </w:r>
          </w:p>
        </w:tc>
        <w:tc>
          <w:tcPr>
            <w:tcW w:type="dxa" w:w="160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Первичный перенос</w:t>
            </w:r>
          </w:p>
        </w:tc>
        <w:tc>
          <w:tcPr>
            <w:tcW w:type="dxa" w:w="150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Социальный эффект</w:t>
            </w:r>
          </w:p>
        </w:tc>
        <w:tc>
          <w:tcPr>
            <w:tcW w:type="dxa" w:w="145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Системный риск</w:t>
            </w:r>
          </w:p>
        </w:tc>
        <w:tc>
          <w:tcPr>
            <w:tcW w:type="dxa" w:w="196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Пакет ответа</w:t>
            </w:r>
          </w:p>
        </w:tc>
      </w:tr>
      <w:tr>
        <w:trPr>
          <w:cantSplit/>
        </w:trPr>
        <w:tc>
          <w:tcPr>
            <w:tcW w:type="dxa" w:w="13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5"/>
              </w:rPr>
              <w:t>Вода</w:t>
            </w:r>
          </w:p>
        </w:tc>
        <w:tc>
          <w:tcPr>
            <w:tcW w:type="dxa" w:w="15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рост водного стресса</w:t>
            </w:r>
          </w:p>
        </w:tc>
        <w:tc>
          <w:tcPr>
            <w:tcW w:type="dxa" w:w="16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снижение урожайности и рост цен</w:t>
            </w:r>
          </w:p>
        </w:tc>
        <w:tc>
          <w:tcPr>
            <w:tcW w:type="dxa" w:w="15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ухудшение здоровья и миграция</w:t>
            </w:r>
          </w:p>
        </w:tc>
        <w:tc>
          <w:tcPr>
            <w:tcW w:type="dxa" w:w="14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социальное напряжение и фискальные расходы</w:t>
            </w:r>
          </w:p>
        </w:tc>
        <w:tc>
          <w:tcPr>
            <w:tcW w:type="dxa" w:w="19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водосбережение + агропереход + защита уязвимых</w:t>
            </w:r>
          </w:p>
        </w:tc>
      </w:tr>
      <w:tr>
        <w:trPr>
          <w:cantSplit/>
        </w:trPr>
        <w:tc>
          <w:tcPr>
            <w:tcW w:type="dxa" w:w="13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5"/>
              </w:rPr>
              <w:t>Внимание</w:t>
            </w:r>
          </w:p>
        </w:tc>
        <w:tc>
          <w:tcPr>
            <w:tcW w:type="dxa" w:w="15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поляризующая информационная среда</w:t>
            </w:r>
          </w:p>
        </w:tc>
        <w:tc>
          <w:tcPr>
            <w:tcW w:type="dxa" w:w="16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тревожность и утрата общего факта</w:t>
            </w:r>
          </w:p>
        </w:tc>
        <w:tc>
          <w:tcPr>
            <w:tcW w:type="dxa" w:w="15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снижение доверия и участия</w:t>
            </w:r>
          </w:p>
        </w:tc>
        <w:tc>
          <w:tcPr>
            <w:tcW w:type="dxa" w:w="14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слабая исполнимость решений</w:t>
            </w:r>
          </w:p>
        </w:tc>
        <w:tc>
          <w:tcPr>
            <w:tcW w:type="dxa" w:w="196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медиаграмотность + дизайн платформ + культурный диалог</w:t>
            </w:r>
          </w:p>
        </w:tc>
      </w:tr>
      <w:tr>
        <w:trPr>
          <w:cantSplit/>
        </w:trPr>
        <w:tc>
          <w:tcPr>
            <w:tcW w:type="dxa" w:w="13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5"/>
              </w:rPr>
              <w:t>Образование</w:t>
            </w:r>
          </w:p>
        </w:tc>
        <w:tc>
          <w:tcPr>
            <w:tcW w:type="dxa" w:w="15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территориальный разрыв</w:t>
            </w:r>
          </w:p>
        </w:tc>
        <w:tc>
          <w:tcPr>
            <w:tcW w:type="dxa" w:w="16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отток молодых и кадровый дефицит</w:t>
            </w:r>
          </w:p>
        </w:tc>
        <w:tc>
          <w:tcPr>
            <w:tcW w:type="dxa" w:w="15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сужение налоговой базы</w:t>
            </w:r>
          </w:p>
        </w:tc>
        <w:tc>
          <w:tcPr>
            <w:tcW w:type="dxa" w:w="14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деградация услуг и новое исключение</w:t>
            </w:r>
          </w:p>
        </w:tc>
        <w:tc>
          <w:tcPr>
            <w:tcW w:type="dxa" w:w="19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сетевые школы + культура + цифровой доступ + наставничество</w:t>
            </w:r>
          </w:p>
        </w:tc>
      </w:tr>
      <w:tr>
        <w:trPr>
          <w:cantSplit/>
        </w:trPr>
        <w:tc>
          <w:tcPr>
            <w:tcW w:type="dxa" w:w="13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5"/>
              </w:rPr>
              <w:t>Культурное наследие</w:t>
            </w:r>
          </w:p>
        </w:tc>
        <w:tc>
          <w:tcPr>
            <w:tcW w:type="dxa" w:w="15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утрата места и памяти</w:t>
            </w:r>
          </w:p>
        </w:tc>
        <w:tc>
          <w:tcPr>
            <w:tcW w:type="dxa" w:w="16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ослабление идентичности и туризма</w:t>
            </w:r>
          </w:p>
        </w:tc>
        <w:tc>
          <w:tcPr>
            <w:tcW w:type="dxa" w:w="15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снижение доверия к развитию</w:t>
            </w:r>
          </w:p>
        </w:tc>
        <w:tc>
          <w:tcPr>
            <w:tcW w:type="dxa" w:w="14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конфликт вокруг инвестиций</w:t>
            </w:r>
          </w:p>
        </w:tc>
        <w:tc>
          <w:tcPr>
            <w:tcW w:type="dxa" w:w="196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5"/>
              </w:rPr>
              <w:t>участие сообществ + адаптивное использование + контракт эффекта</w:t>
            </w:r>
          </w:p>
        </w:tc>
      </w:tr>
    </w:tbl>
    <w:p>
      <w:pPr>
        <w:spacing w:after="0"/>
      </w:pPr>
    </w:p>
    <w:p>
      <w:r>
        <w:t>Эти цепочки являются гипотезами [Э/С], а не универсальными законами. В пилоте каждая цепочка переводится в карту причинных допущений, проверяемых данных и событий, которые могут опровергнуть модель.</w:t>
      </w:r>
    </w:p>
    <w:p>
      <w:pPr>
        <w:pageBreakBefore/>
        <w:spacing w:before="0" w:after="0" w:line="20" w:lineRule="exact"/>
      </w:pPr>
      <w:r>
        <w:rPr>
          <w:color w:val="FFFFFF"/>
          <w:sz w:val="2"/>
        </w:rPr>
        <w:t>​</w:t>
      </w:r>
    </w:p>
    <w:p>
      <w:pPr>
        <w:pStyle w:val="Heading1"/>
      </w:pPr>
      <w:r>
        <w:t>6  Измерение: от панели к индексу</w:t>
      </w:r>
    </w:p>
    <w:p>
      <w:pPr>
        <w:pStyle w:val="Subtitle"/>
      </w:pPr>
      <w:r>
        <w:t>Прозрачность важнее привлекательности одного числа</w:t>
      </w:r>
    </w:p>
    <w:p>
      <w:r>
        <w:t>Базовым продуктом должна быть открытая панель из 19 балансов по пяти уровням. Она показывает направление, разрывы, неопределенность и источники. Свертка в одно значение допустима только после пилота и не должна использоваться самостоятельно для распределения ресурсов или санкций.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420"/>
        <w:gridCol w:w="7940"/>
      </w:tblGrid>
      <w:tr>
        <w:tc>
          <w:tcPr>
            <w:tcW w:type="dxa" w:w="142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</w:tcPr>
          <w:p>
            <w:pPr>
              <w:jc w:val="left"/>
            </w:pPr>
            <w:r>
              <w:rPr>
                <w:b/>
                <w:color w:val="FFFFFF"/>
                <w:sz w:val="18"/>
              </w:rPr>
              <w:t>ПОРЯДОК</w:t>
            </w:r>
          </w:p>
        </w:tc>
        <w:tc>
          <w:tcPr>
            <w:tcW w:type="dxa" w:w="7940"/>
            <w:tcMar>
              <w:top w:w="90" w:type="dxa"/>
              <w:start w:w="100" w:type="dxa"/>
              <w:bottom w:w="90" w:type="dxa"/>
              <w:end w:w="100" w:type="dxa"/>
            </w:tcMar>
            <w:shd w:fill="EEF5FC"/>
          </w:tcPr>
          <w:p>
            <w:pPr>
              <w:jc w:val="left"/>
            </w:pPr>
            <w:r>
              <w:rPr>
                <w:b w:val="0"/>
                <w:color w:val="1D2733"/>
                <w:sz w:val="20"/>
              </w:rPr>
              <w:t>1) данные и метаданные → 2) нормализация → 3) баланс внутри темы → 4) поправка на неравенство → 5) слабое звено → 6) каскадный риск → 7) сценарий и решение.</w:t>
            </w:r>
          </w:p>
        </w:tc>
      </w:tr>
    </w:tbl>
    <w:p>
      <w:pPr>
        <w:spacing w:after="0"/>
      </w:pPr>
    </w:p>
    <w:p>
      <w:pPr>
        <w:pStyle w:val="Heading2"/>
      </w:pPr>
      <w:r>
        <w:t>Предлагаемая формальная схема [Н]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2800"/>
        <w:gridCol w:w="6560"/>
      </w:tblGrid>
      <w:tr>
        <w:trPr>
          <w:tblHeader w:val="true"/>
          <w:cantSplit/>
        </w:trPr>
        <w:tc>
          <w:tcPr>
            <w:tcW w:type="dxa" w:w="280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Элемент</w:t>
            </w:r>
          </w:p>
        </w:tc>
        <w:tc>
          <w:tcPr>
            <w:tcW w:type="dxa" w:w="656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Формула / правило</w:t>
            </w:r>
          </w:p>
        </w:tc>
      </w:tr>
      <w:tr>
        <w:trPr>
          <w:cantSplit/>
        </w:trPr>
        <w:tc>
          <w:tcPr>
            <w:tcW w:type="dxa" w:w="28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8"/>
              </w:rPr>
              <w:t>Нормализация</w:t>
            </w:r>
          </w:p>
        </w:tc>
        <w:tc>
          <w:tcPr>
            <w:tcW w:type="dxa" w:w="65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8"/>
              </w:rPr>
              <w:t>sᵦⱼ ∈ [0;1] с явными порогами, направлением и интервалом неопределенности</w:t>
            </w:r>
          </w:p>
        </w:tc>
      </w:tr>
      <w:tr>
        <w:trPr>
          <w:cantSplit/>
        </w:trPr>
        <w:tc>
          <w:tcPr>
            <w:tcW w:type="dxa" w:w="28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8"/>
              </w:rPr>
              <w:t>Тематический баланс</w:t>
            </w:r>
          </w:p>
        </w:tc>
        <w:tc>
          <w:tcPr>
            <w:tcW w:type="dxa" w:w="656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8"/>
              </w:rPr>
              <w:t>Bᵦ = 100 × ∏ max(ε, sᵦⱼ)ʷᵦⱼ</w:t>
            </w:r>
          </w:p>
        </w:tc>
      </w:tr>
      <w:tr>
        <w:trPr>
          <w:cantSplit/>
        </w:trPr>
        <w:tc>
          <w:tcPr>
            <w:tcW w:type="dxa" w:w="28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8"/>
              </w:rPr>
              <w:t>Поправка на неравенство</w:t>
            </w:r>
          </w:p>
        </w:tc>
        <w:tc>
          <w:tcPr>
            <w:tcW w:type="dxa" w:w="65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8"/>
              </w:rPr>
              <w:t>B*ᵦ = Bᵦ × (1 − γDᵦ), где Dᵦ — территориальный/групповой разрыв</w:t>
            </w:r>
          </w:p>
        </w:tc>
      </w:tr>
      <w:tr>
        <w:trPr>
          <w:cantSplit/>
        </w:trPr>
        <w:tc>
          <w:tcPr>
            <w:tcW w:type="dxa" w:w="28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8"/>
              </w:rPr>
              <w:t>Геометрическая свертка</w:t>
            </w:r>
          </w:p>
        </w:tc>
        <w:tc>
          <w:tcPr>
            <w:tcW w:type="dxa" w:w="656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8"/>
              </w:rPr>
              <w:t>G = ∏ (B*ᵦ / 100)ᵛᵦ</w:t>
            </w:r>
          </w:p>
        </w:tc>
      </w:tr>
      <w:tr>
        <w:trPr>
          <w:cantSplit/>
        </w:trPr>
        <w:tc>
          <w:tcPr>
            <w:tcW w:type="dxa" w:w="28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8"/>
              </w:rPr>
              <w:t>Слабое звено</w:t>
            </w:r>
          </w:p>
        </w:tc>
        <w:tc>
          <w:tcPr>
            <w:tcW w:type="dxa" w:w="65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8"/>
              </w:rPr>
              <w:t>M = min(B*ᵦ / 100)</w:t>
            </w:r>
          </w:p>
        </w:tc>
      </w:tr>
      <w:tr>
        <w:trPr>
          <w:cantSplit/>
        </w:trPr>
        <w:tc>
          <w:tcPr>
            <w:tcW w:type="dxa" w:w="28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8"/>
              </w:rPr>
              <w:t>Экспериментальный индекс</w:t>
            </w:r>
          </w:p>
        </w:tc>
        <w:tc>
          <w:tcPr>
            <w:tcW w:type="dxa" w:w="656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8"/>
              </w:rPr>
              <w:t>I = 100 × G¹⁻ˡ × Mˡ × (1 − ρR), где R — каскадный риск</w:t>
            </w:r>
          </w:p>
        </w:tc>
      </w:tr>
    </w:tbl>
    <w:p>
      <w:pPr>
        <w:spacing w:after="0"/>
      </w:pPr>
    </w:p>
    <w:p>
      <w:r>
        <w:t>Геометрическое агрегирование ограничивает полную компенсацию слабого результата сильными значениями. Параметр λ усиливает вес слабого звена; для пилота можно тестировать диапазон 0,15–0,30. Параметры γ, ρ и веса w, v определяются открытой процедурой чувствительности и не могут назначаться скрыто.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420"/>
        <w:gridCol w:w="7940"/>
      </w:tblGrid>
      <w:tr>
        <w:tc>
          <w:tcPr>
            <w:tcW w:type="dxa" w:w="142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</w:tcPr>
          <w:p>
            <w:pPr>
              <w:jc w:val="left"/>
            </w:pPr>
            <w:r>
              <w:rPr>
                <w:b/>
                <w:color w:val="FFFFFF"/>
                <w:sz w:val="18"/>
              </w:rPr>
              <w:t>КРАСНАЯ ЛИНИЯ</w:t>
            </w:r>
          </w:p>
        </w:tc>
        <w:tc>
          <w:tcPr>
            <w:tcW w:type="dxa" w:w="7940"/>
            <w:tcMar>
              <w:top w:w="90" w:type="dxa"/>
              <w:start w:w="100" w:type="dxa"/>
              <w:bottom w:w="90" w:type="dxa"/>
              <w:end w:w="100" w:type="dxa"/>
            </w:tcMar>
            <w:shd w:fill="F9EEEE"/>
          </w:tcPr>
          <w:p>
            <w:pPr>
              <w:jc w:val="left"/>
            </w:pPr>
            <w:r>
              <w:rPr>
                <w:b w:val="0"/>
                <w:color w:val="1D2733"/>
                <w:sz w:val="20"/>
              </w:rPr>
              <w:t>Пересечение критического порога по правам, жизни, базовым услугам или необратимому экологическому ущербу означает критический дисбаланс независимо от итогового среднего.</w:t>
            </w:r>
          </w:p>
        </w:tc>
      </w:tr>
    </w:tbl>
    <w:p>
      <w:pPr>
        <w:spacing w:after="0"/>
      </w:pPr>
    </w:p>
    <w:p>
      <w:pPr>
        <w:pageBreakBefore/>
        <w:spacing w:before="0" w:after="0" w:line="20" w:lineRule="exact"/>
      </w:pPr>
      <w:r>
        <w:rPr>
          <w:color w:val="FFFFFF"/>
          <w:sz w:val="2"/>
        </w:rPr>
        <w:t>​</w:t>
      </w:r>
    </w:p>
    <w:p>
      <w:pPr>
        <w:pStyle w:val="Heading1"/>
      </w:pPr>
      <w:r>
        <w:t>6.1  Пороговые состояния и неопределенность</w:t>
      </w:r>
    </w:p>
    <w:p>
      <w:pPr>
        <w:pStyle w:val="Subtitle"/>
      </w:pPr>
      <w:r>
        <w:t>Шкала — инструмент обсуждения, а не замена содержательного заключения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500"/>
        <w:gridCol w:w="2600"/>
        <w:gridCol w:w="5260"/>
      </w:tblGrid>
      <w:tr>
        <w:trPr>
          <w:tblHeader w:val="true"/>
        </w:trPr>
        <w:tc>
          <w:tcPr>
            <w:tcW w:type="dxa" w:w="150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</w:tcPr>
          <w:p>
            <w:r>
              <w:rPr>
                <w:rFonts w:ascii="Calibri" w:hAnsi="Calibri" w:eastAsia="Calibri"/>
                <w:b/>
                <w:color w:val="FFFFFF"/>
                <w:sz w:val="17"/>
              </w:rPr>
              <w:t>Диапазон [Н]</w:t>
            </w:r>
          </w:p>
        </w:tc>
        <w:tc>
          <w:tcPr>
            <w:tcW w:type="dxa" w:w="260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</w:tcPr>
          <w:p>
            <w:r>
              <w:rPr>
                <w:rFonts w:ascii="Calibri" w:hAnsi="Calibri" w:eastAsia="Calibri"/>
                <w:b/>
                <w:color w:val="FFFFFF"/>
                <w:sz w:val="17"/>
              </w:rPr>
              <w:t>Состояние</w:t>
            </w:r>
          </w:p>
        </w:tc>
        <w:tc>
          <w:tcPr>
            <w:tcW w:type="dxa" w:w="526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</w:tcPr>
          <w:p>
            <w:r>
              <w:rPr>
                <w:rFonts w:ascii="Calibri" w:hAnsi="Calibri" w:eastAsia="Calibri"/>
                <w:b/>
                <w:color w:val="FFFFFF"/>
                <w:sz w:val="17"/>
              </w:rPr>
              <w:t>Интерпретация</w:t>
            </w:r>
          </w:p>
        </w:tc>
      </w:tr>
      <w:tr>
        <w:trPr>
          <w:cantSplit/>
        </w:trPr>
        <w:tc>
          <w:tcPr>
            <w:tcW w:type="dxa" w:w="1500"/>
            <w:shd w:fill="2E7D65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FFFFFF"/>
                <w:sz w:val="17"/>
              </w:rPr>
              <w:t>80–100</w:t>
            </w:r>
          </w:p>
        </w:tc>
        <w:tc>
          <w:tcPr>
            <w:tcW w:type="dxa" w:w="26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Созидательная устойчивость</w:t>
            </w:r>
          </w:p>
        </w:tc>
        <w:tc>
          <w:tcPr>
            <w:tcW w:type="dxa" w:w="52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баланс находится в безопасном коридоре и создает запас адаптации</w:t>
            </w:r>
          </w:p>
        </w:tc>
      </w:tr>
      <w:tr>
        <w:trPr>
          <w:cantSplit/>
        </w:trPr>
        <w:tc>
          <w:tcPr>
            <w:tcW w:type="dxa" w:w="1500"/>
            <w:shd w:fill="2F5E8E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FFFFFF"/>
                <w:sz w:val="17"/>
              </w:rPr>
              <w:t>65–79</w:t>
            </w:r>
          </w:p>
        </w:tc>
        <w:tc>
          <w:tcPr>
            <w:tcW w:type="dxa" w:w="26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Управляемая стабильность</w:t>
            </w:r>
          </w:p>
        </w:tc>
        <w:tc>
          <w:tcPr>
            <w:tcW w:type="dxa" w:w="52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базовые функции устойчивы, но есть уязвимые группы или внешние риски</w:t>
            </w:r>
          </w:p>
        </w:tc>
      </w:tr>
      <w:tr>
        <w:trPr>
          <w:cantSplit/>
        </w:trPr>
        <w:tc>
          <w:tcPr>
            <w:tcW w:type="dxa" w:w="1500"/>
            <w:shd w:fill="C7922E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FFFFFF"/>
                <w:sz w:val="17"/>
              </w:rPr>
              <w:t>50–64</w:t>
            </w:r>
          </w:p>
        </w:tc>
        <w:tc>
          <w:tcPr>
            <w:tcW w:type="dxa" w:w="2600"/>
            <w:shd w:fill="FAF3E8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Напряжение</w:t>
            </w:r>
          </w:p>
        </w:tc>
        <w:tc>
          <w:tcPr>
            <w:tcW w:type="dxa" w:w="5260"/>
            <w:shd w:fill="FAF3E8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ухудшение устойчиво, требуется корректирующий пакет и усиленный мониторинг</w:t>
            </w:r>
          </w:p>
        </w:tc>
      </w:tr>
      <w:tr>
        <w:trPr>
          <w:cantSplit/>
        </w:trPr>
        <w:tc>
          <w:tcPr>
            <w:tcW w:type="dxa" w:w="1500"/>
            <w:shd w:fill="B86A26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FFFFFF"/>
                <w:sz w:val="17"/>
              </w:rPr>
              <w:t>35–49</w:t>
            </w:r>
          </w:p>
        </w:tc>
        <w:tc>
          <w:tcPr>
            <w:tcW w:type="dxa" w:w="26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Системный риск</w:t>
            </w:r>
          </w:p>
        </w:tc>
        <w:tc>
          <w:tcPr>
            <w:tcW w:type="dxa" w:w="52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дефицит переносится между балансами, вероятен каскад</w:t>
            </w:r>
          </w:p>
        </w:tc>
      </w:tr>
      <w:tr>
        <w:trPr>
          <w:cantSplit/>
        </w:trPr>
        <w:tc>
          <w:tcPr>
            <w:tcW w:type="dxa" w:w="1500"/>
            <w:shd w:fill="B44343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FFFFFF"/>
                <w:sz w:val="17"/>
              </w:rPr>
              <w:t>0–34</w:t>
            </w:r>
          </w:p>
        </w:tc>
        <w:tc>
          <w:tcPr>
            <w:tcW w:type="dxa" w:w="2600"/>
            <w:shd w:fill="F9EEEE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Критический разрыв</w:t>
            </w:r>
          </w:p>
        </w:tc>
        <w:tc>
          <w:tcPr>
            <w:tcW w:type="dxa" w:w="5260"/>
            <w:shd w:fill="F9EEEE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базовая функция нарушена или пересечена красная линия</w:t>
            </w:r>
          </w:p>
        </w:tc>
      </w:tr>
    </w:tbl>
    <w:p>
      <w:pPr>
        <w:spacing w:after="0"/>
      </w:pPr>
    </w:p>
    <w:p>
      <w:pPr>
        <w:pStyle w:val="Heading2"/>
      </w:pPr>
      <w:r>
        <w:t>Обязательное сопровождение оценки</w:t>
      </w:r>
    </w:p>
    <w:p>
      <w:pPr>
        <w:pStyle w:val="ListBullet"/>
      </w:pPr>
      <w:r>
        <w:t>интервал неопределенности и качество данных;</w:t>
      </w:r>
    </w:p>
    <w:p>
      <w:pPr>
        <w:pStyle w:val="ListBullet"/>
      </w:pPr>
      <w:r>
        <w:t>динамика не менее чем за несколько периодов;</w:t>
      </w:r>
    </w:p>
    <w:p>
      <w:pPr>
        <w:pStyle w:val="ListBullet"/>
      </w:pPr>
      <w:r>
        <w:t>распределение по территориям и значимым группам;</w:t>
      </w:r>
    </w:p>
    <w:p>
      <w:pPr>
        <w:pStyle w:val="ListBullet"/>
      </w:pPr>
      <w:r>
        <w:t>объяснение причин изменения и альтернативных трактовок;</w:t>
      </w:r>
    </w:p>
    <w:p>
      <w:pPr>
        <w:pStyle w:val="ListBullet"/>
      </w:pPr>
      <w:r>
        <w:t>реестр пересеченных красных линий и открытых разногласий.</w:t>
      </w:r>
    </w:p>
    <w:p>
      <w:pPr>
        <w:pageBreakBefore/>
        <w:spacing w:before="0" w:after="0" w:line="20" w:lineRule="exact"/>
      </w:pPr>
      <w:r>
        <w:rPr>
          <w:color w:val="FFFFFF"/>
          <w:sz w:val="2"/>
        </w:rPr>
        <w:t>​</w:t>
      </w:r>
    </w:p>
    <w:p>
      <w:pPr>
        <w:pStyle w:val="Heading1"/>
      </w:pPr>
      <w:r>
        <w:t>6.2  Паспорт баланса</w:t>
      </w:r>
    </w:p>
    <w:p>
      <w:pPr>
        <w:pStyle w:val="Subtitle"/>
      </w:pPr>
      <w:r>
        <w:t>Минимальная единица доказательного управления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420"/>
        <w:gridCol w:w="7940"/>
      </w:tblGrid>
      <w:tr>
        <w:tc>
          <w:tcPr>
            <w:tcW w:type="dxa" w:w="142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</w:tcPr>
          <w:p>
            <w:pPr>
              <w:jc w:val="left"/>
            </w:pPr>
            <w:r>
              <w:rPr>
                <w:b/>
                <w:color w:val="FFFFFF"/>
                <w:sz w:val="18"/>
              </w:rPr>
              <w:t>ПРИМЕР</w:t>
            </w:r>
          </w:p>
        </w:tc>
        <w:tc>
          <w:tcPr>
            <w:tcW w:type="dxa" w:w="7940"/>
            <w:tcMar>
              <w:top w:w="90" w:type="dxa"/>
              <w:start w:w="100" w:type="dxa"/>
              <w:bottom w:w="90" w:type="dxa"/>
              <w:end w:w="100" w:type="dxa"/>
            </w:tcMar>
            <w:shd w:fill="EEF5FC"/>
          </w:tcPr>
          <w:p>
            <w:pPr>
              <w:jc w:val="left"/>
            </w:pPr>
            <w:r>
              <w:rPr>
                <w:b w:val="0"/>
                <w:color w:val="1D2733"/>
                <w:sz w:val="20"/>
              </w:rPr>
              <w:t>Баланс № 6 «Доверие, солидарность и участие» — демонстрационная структура паспорта, не расчет территории.</w:t>
            </w:r>
          </w:p>
        </w:tc>
      </w:tr>
    </w:tbl>
    <w:p>
      <w:pPr>
        <w:spacing w:after="0"/>
      </w:pP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2400"/>
        <w:gridCol w:w="6960"/>
      </w:tblGrid>
      <w:tr>
        <w:trPr>
          <w:tblHeader w:val="true"/>
          <w:cantSplit/>
        </w:trPr>
        <w:tc>
          <w:tcPr>
            <w:tcW w:type="dxa" w:w="240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Поле</w:t>
            </w:r>
          </w:p>
        </w:tc>
        <w:tc>
          <w:tcPr>
            <w:tcW w:type="dxa" w:w="696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Содержание</w:t>
            </w:r>
          </w:p>
        </w:tc>
      </w:tr>
      <w:tr>
        <w:trPr>
          <w:cantSplit/>
        </w:trPr>
        <w:tc>
          <w:tcPr>
            <w:tcW w:type="dxa" w:w="24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Цель</w:t>
            </w:r>
          </w:p>
        </w:tc>
        <w:tc>
          <w:tcPr>
            <w:tcW w:type="dxa" w:w="69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поддерживать способность людей сотрудничать, участвовать и решать конфликты ненасильственно</w:t>
            </w:r>
          </w:p>
        </w:tc>
      </w:tr>
      <w:tr>
        <w:trPr>
          <w:cantSplit/>
        </w:trPr>
        <w:tc>
          <w:tcPr>
            <w:tcW w:type="dxa" w:w="24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Результат для человека</w:t>
            </w:r>
          </w:p>
        </w:tc>
        <w:tc>
          <w:tcPr>
            <w:tcW w:type="dxa" w:w="696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ощущение принадлежности, защищенности, влияния и возможности рассчитывать на других</w:t>
            </w:r>
          </w:p>
        </w:tc>
      </w:tr>
      <w:tr>
        <w:trPr>
          <w:cantSplit/>
        </w:trPr>
        <w:tc>
          <w:tcPr>
            <w:tcW w:type="dxa" w:w="24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Данные [Д]</w:t>
            </w:r>
          </w:p>
        </w:tc>
        <w:tc>
          <w:tcPr>
            <w:tcW w:type="dxa" w:w="69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опросы доверия; участие в выборах и обсуждениях; волонтерство; плотность сообществ; обращения и исполнение</w:t>
            </w:r>
          </w:p>
        </w:tc>
      </w:tr>
      <w:tr>
        <w:trPr>
          <w:cantSplit/>
        </w:trPr>
        <w:tc>
          <w:tcPr>
            <w:tcW w:type="dxa" w:w="24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Разрезы</w:t>
            </w:r>
          </w:p>
        </w:tc>
        <w:tc>
          <w:tcPr>
            <w:tcW w:type="dxa" w:w="696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возраст, пол, доход, территория, тип поселения, уязвимость, цифровой доступ</w:t>
            </w:r>
          </w:p>
        </w:tc>
      </w:tr>
      <w:tr>
        <w:trPr>
          <w:cantSplit/>
        </w:trPr>
        <w:tc>
          <w:tcPr>
            <w:tcW w:type="dxa" w:w="24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Механизмы [Э]</w:t>
            </w:r>
          </w:p>
        </w:tc>
        <w:tc>
          <w:tcPr>
            <w:tcW w:type="dxa" w:w="69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качество услуг; справедливость процедур; культурное участие; опыт успешного сотрудничества; информационная среда</w:t>
            </w:r>
          </w:p>
        </w:tc>
      </w:tr>
      <w:tr>
        <w:trPr>
          <w:cantSplit/>
        </w:trPr>
        <w:tc>
          <w:tcPr>
            <w:tcW w:type="dxa" w:w="24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Красная линия [Н]</w:t>
            </w:r>
          </w:p>
        </w:tc>
        <w:tc>
          <w:tcPr>
            <w:tcW w:type="dxa" w:w="696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нормализация насилия, исключение групп из участия, утрата минимальной процедурной справедливости</w:t>
            </w:r>
          </w:p>
        </w:tc>
      </w:tr>
      <w:tr>
        <w:trPr>
          <w:cantSplit/>
        </w:trPr>
        <w:tc>
          <w:tcPr>
            <w:tcW w:type="dxa" w:w="24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Ранний сигнал</w:t>
            </w:r>
          </w:p>
        </w:tc>
        <w:tc>
          <w:tcPr>
            <w:tcW w:type="dxa" w:w="69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резкий рост взаимного недоверия одновременно с падением участия и локальными конфликтами</w:t>
            </w:r>
          </w:p>
        </w:tc>
      </w:tr>
      <w:tr>
        <w:trPr>
          <w:cantSplit/>
        </w:trPr>
        <w:tc>
          <w:tcPr>
            <w:tcW w:type="dxa" w:w="24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Решение</w:t>
            </w:r>
          </w:p>
        </w:tc>
        <w:tc>
          <w:tcPr>
            <w:tcW w:type="dxa" w:w="696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пакет открытых процедур, локальных культурных площадок, сервисных улучшений и медиации</w:t>
            </w:r>
          </w:p>
        </w:tc>
      </w:tr>
      <w:tr>
        <w:trPr>
          <w:cantSplit/>
        </w:trPr>
        <w:tc>
          <w:tcPr>
            <w:tcW w:type="dxa" w:w="24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Проверка эффекта</w:t>
            </w:r>
          </w:p>
        </w:tc>
        <w:tc>
          <w:tcPr>
            <w:tcW w:type="dxa" w:w="69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изменение показателей относительно сопоставимой территории/периода; качественные свидетельства; аудит побочных эффектов</w:t>
            </w:r>
          </w:p>
        </w:tc>
      </w:tr>
      <w:tr>
        <w:trPr>
          <w:cantSplit/>
        </w:trPr>
        <w:tc>
          <w:tcPr>
            <w:tcW w:type="dxa" w:w="24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Ответственность</w:t>
            </w:r>
          </w:p>
        </w:tc>
        <w:tc>
          <w:tcPr>
            <w:tcW w:type="dxa" w:w="696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владелец данных; владелец решения; независимый верификатор; общественный совет</w:t>
            </w:r>
          </w:p>
        </w:tc>
      </w:tr>
    </w:tbl>
    <w:p>
      <w:pPr>
        <w:spacing w:after="0"/>
      </w:pPr>
    </w:p>
    <w:p>
      <w:r>
        <w:t>Паспорт соединяет показатель и действие. Без ответственного за решение индикатор остается наблюдением; без независимой проверки управленческий результат остается заявлением.</w:t>
      </w:r>
    </w:p>
    <w:p>
      <w:pPr>
        <w:pageBreakBefore/>
        <w:spacing w:before="0" w:after="0" w:line="20" w:lineRule="exact"/>
      </w:pPr>
      <w:r>
        <w:rPr>
          <w:color w:val="FFFFFF"/>
          <w:sz w:val="2"/>
        </w:rPr>
        <w:t>​</w:t>
      </w:r>
    </w:p>
    <w:p>
      <w:pPr>
        <w:pStyle w:val="Heading1"/>
      </w:pPr>
      <w:r>
        <w:t>7  Данные и раннее предупреждение</w:t>
      </w:r>
    </w:p>
    <w:p>
      <w:pPr>
        <w:pStyle w:val="Subtitle"/>
      </w:pPr>
      <w:r>
        <w:t>От разрозненной статистики к объяснимому контуру наблюдения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2600"/>
        <w:gridCol w:w="6760"/>
      </w:tblGrid>
      <w:tr>
        <w:trPr>
          <w:tblHeader w:val="true"/>
          <w:cantSplit/>
        </w:trPr>
        <w:tc>
          <w:tcPr>
            <w:tcW w:type="dxa" w:w="260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Слой</w:t>
            </w:r>
          </w:p>
        </w:tc>
        <w:tc>
          <w:tcPr>
            <w:tcW w:type="dxa" w:w="676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Назначение</w:t>
            </w:r>
          </w:p>
        </w:tc>
      </w:tr>
      <w:tr>
        <w:trPr>
          <w:cantSplit/>
        </w:trPr>
        <w:tc>
          <w:tcPr>
            <w:tcW w:type="dxa" w:w="26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8"/>
              </w:rPr>
              <w:t>1. Реестр</w:t>
            </w:r>
          </w:p>
        </w:tc>
        <w:tc>
          <w:tcPr>
            <w:tcW w:type="dxa" w:w="67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8"/>
              </w:rPr>
              <w:t>источники, правовые основания, периодичность, владелец, качество, ограничения</w:t>
            </w:r>
          </w:p>
        </w:tc>
      </w:tr>
      <w:tr>
        <w:trPr>
          <w:cantSplit/>
        </w:trPr>
        <w:tc>
          <w:tcPr>
            <w:tcW w:type="dxa" w:w="26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8"/>
              </w:rPr>
              <w:t>2. Слой наблюдений</w:t>
            </w:r>
          </w:p>
        </w:tc>
        <w:tc>
          <w:tcPr>
            <w:tcW w:type="dxa" w:w="676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8"/>
              </w:rPr>
              <w:t>официальная статистика, административные данные, опросы, сенсоры, экспертные и общественные сигналы</w:t>
            </w:r>
          </w:p>
        </w:tc>
      </w:tr>
      <w:tr>
        <w:trPr>
          <w:cantSplit/>
        </w:trPr>
        <w:tc>
          <w:tcPr>
            <w:tcW w:type="dxa" w:w="26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8"/>
              </w:rPr>
              <w:t>3. Семантическая модель</w:t>
            </w:r>
          </w:p>
        </w:tc>
        <w:tc>
          <w:tcPr>
            <w:tcW w:type="dxa" w:w="67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8"/>
              </w:rPr>
              <w:t>единые определения, связи показателей с балансами, уровнями и группами</w:t>
            </w:r>
          </w:p>
        </w:tc>
      </w:tr>
      <w:tr>
        <w:trPr>
          <w:cantSplit/>
        </w:trPr>
        <w:tc>
          <w:tcPr>
            <w:tcW w:type="dxa" w:w="26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8"/>
              </w:rPr>
              <w:t>4. Аналитика</w:t>
            </w:r>
          </w:p>
        </w:tc>
        <w:tc>
          <w:tcPr>
            <w:tcW w:type="dxa" w:w="676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8"/>
              </w:rPr>
              <w:t>тренды, разрывы, причинные гипотезы, пороги, сценарии, чувствительность</w:t>
            </w:r>
          </w:p>
        </w:tc>
      </w:tr>
      <w:tr>
        <w:trPr>
          <w:cantSplit/>
        </w:trPr>
        <w:tc>
          <w:tcPr>
            <w:tcW w:type="dxa" w:w="26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8"/>
              </w:rPr>
              <w:t>5. Раннее предупреждение</w:t>
            </w:r>
          </w:p>
        </w:tc>
        <w:tc>
          <w:tcPr>
            <w:tcW w:type="dxa" w:w="67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8"/>
              </w:rPr>
              <w:t>сочетание сигналов, оценка каскада, приоритет проверки и действий</w:t>
            </w:r>
          </w:p>
        </w:tc>
      </w:tr>
      <w:tr>
        <w:trPr>
          <w:cantSplit/>
        </w:trPr>
        <w:tc>
          <w:tcPr>
            <w:tcW w:type="dxa" w:w="26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8"/>
              </w:rPr>
              <w:t>6. Решение и обратная связь</w:t>
            </w:r>
          </w:p>
        </w:tc>
        <w:tc>
          <w:tcPr>
            <w:tcW w:type="dxa" w:w="676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8"/>
              </w:rPr>
              <w:t>выбранный пакет, бюджет, ответственный, ожидаемый эффект, мониторинг и пересмотр</w:t>
            </w:r>
          </w:p>
        </w:tc>
      </w:tr>
    </w:tbl>
    <w:p>
      <w:pPr>
        <w:spacing w:after="0"/>
      </w:pPr>
    </w:p>
    <w:p>
      <w:pPr>
        <w:pStyle w:val="Heading2"/>
      </w:pPr>
      <w:r>
        <w:t>Правила качества данных</w:t>
      </w:r>
    </w:p>
    <w:p>
      <w:pPr>
        <w:pStyle w:val="ListBullet"/>
      </w:pPr>
      <w:r>
        <w:t>минимизация персональных данных и разделение идентификации и аналитики;</w:t>
      </w:r>
    </w:p>
    <w:p>
      <w:pPr>
        <w:pStyle w:val="ListBullet"/>
      </w:pPr>
      <w:r>
        <w:t>версионирование методик и воспроизводимость расчетов;</w:t>
      </w:r>
    </w:p>
    <w:p>
      <w:pPr>
        <w:pStyle w:val="ListBullet"/>
      </w:pPr>
      <w:r>
        <w:t>явная маркировка пропусков, модельных оценок и конфликтующих источников;</w:t>
      </w:r>
    </w:p>
    <w:p>
      <w:pPr>
        <w:pStyle w:val="ListBullet"/>
      </w:pPr>
      <w:r>
        <w:t>невозможность автоматического решения, затрагивающего права, без человеческого рассмотрения;</w:t>
      </w:r>
    </w:p>
    <w:p>
      <w:pPr>
        <w:pStyle w:val="ListBullet"/>
      </w:pPr>
      <w:r>
        <w:t>публичные метаданные и независимый аудит для показателей высокого воздействия.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420"/>
        <w:gridCol w:w="7940"/>
      </w:tblGrid>
      <w:tr>
        <w:tc>
          <w:tcPr>
            <w:tcW w:type="dxa" w:w="142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</w:tcPr>
          <w:p>
            <w:pPr>
              <w:jc w:val="left"/>
            </w:pPr>
            <w:r>
              <w:rPr>
                <w:b/>
                <w:color w:val="FFFFFF"/>
                <w:sz w:val="18"/>
              </w:rPr>
              <w:t>ПРИНЦИП</w:t>
            </w:r>
          </w:p>
        </w:tc>
        <w:tc>
          <w:tcPr>
            <w:tcW w:type="dxa" w:w="7940"/>
            <w:tcMar>
              <w:top w:w="90" w:type="dxa"/>
              <w:start w:w="100" w:type="dxa"/>
              <w:bottom w:w="90" w:type="dxa"/>
              <w:end w:w="100" w:type="dxa"/>
            </w:tcMar>
            <w:shd w:fill="EEF5FC"/>
          </w:tcPr>
          <w:p>
            <w:pPr>
              <w:jc w:val="left"/>
            </w:pPr>
            <w:r>
              <w:rPr>
                <w:b w:val="0"/>
                <w:color w:val="1D2733"/>
                <w:sz w:val="20"/>
              </w:rPr>
              <w:t>Чем выше цена ошибки для человека, тем строже требования к объяснимости, правовому основанию, независимой проверке и возможности обжалования.</w:t>
            </w:r>
          </w:p>
        </w:tc>
      </w:tr>
    </w:tbl>
    <w:p>
      <w:pPr>
        <w:spacing w:after="0"/>
      </w:pPr>
    </w:p>
    <w:p>
      <w:pPr>
        <w:pageBreakBefore/>
        <w:spacing w:before="0" w:after="0" w:line="20" w:lineRule="exact"/>
      </w:pPr>
      <w:r>
        <w:rPr>
          <w:color w:val="FFFFFF"/>
          <w:sz w:val="2"/>
        </w:rPr>
        <w:t>​</w:t>
      </w:r>
    </w:p>
    <w:p>
      <w:pPr>
        <w:pStyle w:val="Heading1"/>
      </w:pPr>
      <w:r>
        <w:t>7.1  Цикл управленческого решения</w:t>
      </w:r>
    </w:p>
    <w:p>
      <w:pPr>
        <w:pStyle w:val="Subtitle"/>
      </w:pPr>
      <w:r>
        <w:t>Данные становятся ценными только внутри процедуры выбора и ответственности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750"/>
        <w:gridCol w:w="3550"/>
        <w:gridCol w:w="4060"/>
      </w:tblGrid>
      <w:tr>
        <w:trPr>
          <w:tblHeader w:val="true"/>
          <w:cantSplit/>
        </w:trPr>
        <w:tc>
          <w:tcPr>
            <w:tcW w:type="dxa" w:w="175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Этап</w:t>
            </w:r>
          </w:p>
        </w:tc>
        <w:tc>
          <w:tcPr>
            <w:tcW w:type="dxa" w:w="355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Ключевой вопрос</w:t>
            </w:r>
          </w:p>
        </w:tc>
        <w:tc>
          <w:tcPr>
            <w:tcW w:type="dxa" w:w="406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Обязательный результат</w:t>
            </w:r>
          </w:p>
        </w:tc>
      </w:tr>
      <w:tr>
        <w:trPr>
          <w:cantSplit/>
        </w:trPr>
        <w:tc>
          <w:tcPr>
            <w:tcW w:type="dxa" w:w="17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Диагностика</w:t>
            </w:r>
          </w:p>
        </w:tc>
        <w:tc>
          <w:tcPr>
            <w:tcW w:type="dxa" w:w="35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какой баланс выходит из коридора и для кого</w:t>
            </w:r>
          </w:p>
        </w:tc>
        <w:tc>
          <w:tcPr>
            <w:tcW w:type="dxa" w:w="40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базовая линия; карта разрывов; качество данных</w:t>
            </w:r>
          </w:p>
        </w:tc>
      </w:tr>
      <w:tr>
        <w:trPr>
          <w:cantSplit/>
        </w:trPr>
        <w:tc>
          <w:tcPr>
            <w:tcW w:type="dxa" w:w="17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Причинная гипотеза</w:t>
            </w:r>
          </w:p>
        </w:tc>
        <w:tc>
          <w:tcPr>
            <w:tcW w:type="dxa" w:w="35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какие механизмы и лаги объясняют изменение</w:t>
            </w:r>
          </w:p>
        </w:tc>
        <w:tc>
          <w:tcPr>
            <w:tcW w:type="dxa" w:w="406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карта причин; альтернативы; опровержимые допущения</w:t>
            </w:r>
          </w:p>
        </w:tc>
      </w:tr>
      <w:tr>
        <w:trPr>
          <w:cantSplit/>
        </w:trPr>
        <w:tc>
          <w:tcPr>
            <w:tcW w:type="dxa" w:w="17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Сценарии</w:t>
            </w:r>
          </w:p>
        </w:tc>
        <w:tc>
          <w:tcPr>
            <w:tcW w:type="dxa" w:w="35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что произойдет при разных пакетах и без действия</w:t>
            </w:r>
          </w:p>
        </w:tc>
        <w:tc>
          <w:tcPr>
            <w:tcW w:type="dxa" w:w="40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диапазоны; каскады; необратимость; цена ожидания</w:t>
            </w:r>
          </w:p>
        </w:tc>
      </w:tr>
      <w:tr>
        <w:trPr>
          <w:cantSplit/>
        </w:trPr>
        <w:tc>
          <w:tcPr>
            <w:tcW w:type="dxa" w:w="17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Согласование</w:t>
            </w:r>
          </w:p>
        </w:tc>
        <w:tc>
          <w:tcPr>
            <w:tcW w:type="dxa" w:w="35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чьи ценности, права и знания должны быть учтены</w:t>
            </w:r>
          </w:p>
        </w:tc>
        <w:tc>
          <w:tcPr>
            <w:tcW w:type="dxa" w:w="406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протокол участия; разногласия; компенсации</w:t>
            </w:r>
          </w:p>
        </w:tc>
      </w:tr>
      <w:tr>
        <w:trPr>
          <w:cantSplit/>
        </w:trPr>
        <w:tc>
          <w:tcPr>
            <w:tcW w:type="dxa" w:w="17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Контракт результата</w:t>
            </w:r>
          </w:p>
        </w:tc>
        <w:tc>
          <w:tcPr>
            <w:tcW w:type="dxa" w:w="35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кто, за счет чего и к какому эффекту идет</w:t>
            </w:r>
          </w:p>
        </w:tc>
        <w:tc>
          <w:tcPr>
            <w:tcW w:type="dxa" w:w="40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ресурсы; KPI; красные линии; верификация</w:t>
            </w:r>
          </w:p>
        </w:tc>
      </w:tr>
      <w:tr>
        <w:trPr>
          <w:cantSplit/>
        </w:trPr>
        <w:tc>
          <w:tcPr>
            <w:tcW w:type="dxa" w:w="17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Реализация</w:t>
            </w:r>
          </w:p>
        </w:tc>
        <w:tc>
          <w:tcPr>
            <w:tcW w:type="dxa" w:w="35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как управлять адаптивно</w:t>
            </w:r>
          </w:p>
        </w:tc>
        <w:tc>
          <w:tcPr>
            <w:tcW w:type="dxa" w:w="406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контрольные точки; мониторинг; право остановки</w:t>
            </w:r>
          </w:p>
        </w:tc>
      </w:tr>
      <w:tr>
        <w:trPr>
          <w:cantSplit/>
        </w:trPr>
        <w:tc>
          <w:tcPr>
            <w:tcW w:type="dxa" w:w="17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Оценка и обучение</w:t>
            </w:r>
          </w:p>
        </w:tc>
        <w:tc>
          <w:tcPr>
            <w:tcW w:type="dxa" w:w="35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что сработало, для кого и почему</w:t>
            </w:r>
          </w:p>
        </w:tc>
        <w:tc>
          <w:tcPr>
            <w:tcW w:type="dxa" w:w="40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эффект; побочные последствия; обновленная модель</w:t>
            </w:r>
          </w:p>
        </w:tc>
      </w:tr>
    </w:tbl>
    <w:p>
      <w:pPr>
        <w:spacing w:after="0"/>
      </w:pPr>
    </w:p>
    <w:p>
      <w:r>
        <w:t>Цикл повторяется. Управленческая зрелость выражается не в отсутствии пересмотра, а в способности своевременно менять решение на основании новой информации и сохранять объяснимую историю выбора.</w:t>
      </w:r>
    </w:p>
    <w:p>
      <w:pPr>
        <w:pageBreakBefore/>
        <w:spacing w:before="0" w:after="0" w:line="20" w:lineRule="exact"/>
      </w:pPr>
      <w:r>
        <w:rPr>
          <w:color w:val="FFFFFF"/>
          <w:sz w:val="2"/>
        </w:rPr>
        <w:t>​</w:t>
      </w:r>
    </w:p>
    <w:p>
      <w:pPr>
        <w:pStyle w:val="Heading1"/>
      </w:pPr>
      <w:r>
        <w:t>7.2  Экосистема реализации</w:t>
      </w:r>
    </w:p>
    <w:p>
      <w:pPr>
        <w:pStyle w:val="Subtitle"/>
      </w:pPr>
      <w:r>
        <w:t>Разделение наблюдения, участия, финансирования и исполнения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700"/>
        <w:gridCol w:w="2500"/>
        <w:gridCol w:w="3160"/>
        <w:gridCol w:w="2000"/>
      </w:tblGrid>
      <w:tr>
        <w:trPr>
          <w:tblHeader w:val="true"/>
          <w:cantSplit/>
        </w:trPr>
        <w:tc>
          <w:tcPr>
            <w:tcW w:type="dxa" w:w="170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Контур</w:t>
            </w:r>
          </w:p>
        </w:tc>
        <w:tc>
          <w:tcPr>
            <w:tcW w:type="dxa" w:w="250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Роль</w:t>
            </w:r>
          </w:p>
        </w:tc>
        <w:tc>
          <w:tcPr>
            <w:tcW w:type="dxa" w:w="316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Продукты</w:t>
            </w:r>
          </w:p>
        </w:tc>
        <w:tc>
          <w:tcPr>
            <w:tcW w:type="dxa" w:w="200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Ограничения</w:t>
            </w:r>
          </w:p>
        </w:tc>
      </w:tr>
      <w:tr>
        <w:trPr>
          <w:cantSplit/>
        </w:trPr>
        <w:tc>
          <w:tcPr>
            <w:tcW w:type="dxa" w:w="17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6"/>
              </w:rPr>
              <w:t>ЭКВИЛИБРИУМ</w:t>
            </w:r>
          </w:p>
        </w:tc>
        <w:tc>
          <w:tcPr>
            <w:tcW w:type="dxa" w:w="25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наблюдение, моделирование, прогнозирование и контроль</w:t>
            </w:r>
          </w:p>
        </w:tc>
        <w:tc>
          <w:tcPr>
            <w:tcW w:type="dxa" w:w="31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паспорта балансов; причинные карты; сценарии; ранние предупреждения; журнал решений</w:t>
            </w:r>
          </w:p>
        </w:tc>
        <w:tc>
          <w:tcPr>
            <w:tcW w:type="dxa" w:w="20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методическая открытость и независимая верификация</w:t>
            </w:r>
          </w:p>
        </w:tc>
      </w:tr>
      <w:tr>
        <w:trPr>
          <w:cantSplit/>
        </w:trPr>
        <w:tc>
          <w:tcPr>
            <w:tcW w:type="dxa" w:w="17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6"/>
              </w:rPr>
              <w:t>СФЕРА</w:t>
            </w:r>
          </w:p>
        </w:tc>
        <w:tc>
          <w:tcPr>
            <w:tcW w:type="dxa" w:w="25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диалог, участие и инициирование</w:t>
            </w:r>
          </w:p>
        </w:tc>
        <w:tc>
          <w:tcPr>
            <w:tcW w:type="dxa" w:w="316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карта заинтересованных сторон; общественные сигналы; проектные инициативы; протокол разногласий</w:t>
            </w:r>
          </w:p>
        </w:tc>
        <w:tc>
          <w:tcPr>
            <w:tcW w:type="dxa" w:w="20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репрезентативность, доступность, защита от захвата</w:t>
            </w:r>
          </w:p>
        </w:tc>
      </w:tr>
      <w:tr>
        <w:trPr>
          <w:cantSplit/>
        </w:trPr>
        <w:tc>
          <w:tcPr>
            <w:tcW w:type="dxa" w:w="17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6"/>
              </w:rPr>
              <w:t>ECO-PPA</w:t>
            </w:r>
          </w:p>
        </w:tc>
        <w:tc>
          <w:tcPr>
            <w:tcW w:type="dxa" w:w="25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мобилизация ресурсов и контрактирование результата</w:t>
            </w:r>
          </w:p>
        </w:tc>
        <w:tc>
          <w:tcPr>
            <w:tcW w:type="dxa" w:w="31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финансовая модель; распределение рисков; контракт измеримого эффекта; длинный горизонт</w:t>
            </w:r>
          </w:p>
        </w:tc>
        <w:tc>
          <w:tcPr>
            <w:tcW w:type="dxa" w:w="20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не допускать монетизации прав и скрытого переноса издержек</w:t>
            </w:r>
          </w:p>
        </w:tc>
      </w:tr>
      <w:tr>
        <w:trPr>
          <w:cantSplit/>
        </w:trPr>
        <w:tc>
          <w:tcPr>
            <w:tcW w:type="dxa" w:w="17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6"/>
              </w:rPr>
              <w:t>СПЕЦЗАЩИТА</w:t>
            </w:r>
          </w:p>
        </w:tc>
        <w:tc>
          <w:tcPr>
            <w:tcW w:type="dxa" w:w="25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кооперация, реализация и подтвержденный эффект</w:t>
            </w:r>
          </w:p>
        </w:tc>
        <w:tc>
          <w:tcPr>
            <w:tcW w:type="dxa" w:w="316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план исполнения; защита критических функций; контроль качества; доказательства результата</w:t>
            </w:r>
          </w:p>
        </w:tc>
        <w:tc>
          <w:tcPr>
            <w:tcW w:type="dxa" w:w="20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пропорциональность, право, безопасность и подотчетность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420"/>
        <w:gridCol w:w="7940"/>
      </w:tblGrid>
      <w:tr>
        <w:tc>
          <w:tcPr>
            <w:tcW w:type="dxa" w:w="142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</w:tcPr>
          <w:p>
            <w:pPr>
              <w:jc w:val="left"/>
            </w:pPr>
            <w:r>
              <w:rPr>
                <w:b/>
                <w:color w:val="FFFFFF"/>
                <w:sz w:val="18"/>
              </w:rPr>
              <w:t>РАЗДЕЛЕНИЕ РОЛЕЙ</w:t>
            </w:r>
          </w:p>
        </w:tc>
        <w:tc>
          <w:tcPr>
            <w:tcW w:type="dxa" w:w="7940"/>
            <w:tcMar>
              <w:top w:w="90" w:type="dxa"/>
              <w:start w:w="100" w:type="dxa"/>
              <w:bottom w:w="90" w:type="dxa"/>
              <w:end w:w="100" w:type="dxa"/>
            </w:tcMar>
            <w:shd w:fill="EEF5FC"/>
          </w:tcPr>
          <w:p>
            <w:pPr>
              <w:jc w:val="left"/>
            </w:pPr>
            <w:r>
              <w:rPr>
                <w:b w:val="0"/>
                <w:color w:val="1D2733"/>
                <w:sz w:val="20"/>
              </w:rPr>
              <w:t>Оператор анализа не должен единолично определять нормативный выбор; участники диалога — присваивать себе репрезентативность; финансирующий контур — подменять общественную цель доходностью; исполнитель — сам подтверждать свой эффект.</w:t>
            </w:r>
          </w:p>
        </w:tc>
      </w:tr>
    </w:tbl>
    <w:p>
      <w:pPr>
        <w:spacing w:after="0"/>
      </w:pPr>
    </w:p>
    <w:p>
      <w:pPr>
        <w:pageBreakBefore/>
        <w:spacing w:before="0" w:after="0" w:line="20" w:lineRule="exact"/>
      </w:pPr>
      <w:r>
        <w:rPr>
          <w:color w:val="FFFFFF"/>
          <w:sz w:val="2"/>
        </w:rPr>
        <w:t>​</w:t>
      </w:r>
    </w:p>
    <w:p>
      <w:pPr>
        <w:pStyle w:val="Heading1"/>
      </w:pPr>
      <w:r>
        <w:t>7.3  Управление методологией</w:t>
      </w:r>
    </w:p>
    <w:p>
      <w:pPr>
        <w:pStyle w:val="Subtitle"/>
      </w:pPr>
      <w:r>
        <w:t>Легитимность создается процедурой, а не сложностью модели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2250"/>
        <w:gridCol w:w="3850"/>
        <w:gridCol w:w="3260"/>
      </w:tblGrid>
      <w:tr>
        <w:trPr>
          <w:tblHeader w:val="true"/>
          <w:cantSplit/>
        </w:trPr>
        <w:tc>
          <w:tcPr>
            <w:tcW w:type="dxa" w:w="225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Роль</w:t>
            </w:r>
          </w:p>
        </w:tc>
        <w:tc>
          <w:tcPr>
            <w:tcW w:type="dxa" w:w="385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Предмет ответственности</w:t>
            </w:r>
          </w:p>
        </w:tc>
        <w:tc>
          <w:tcPr>
            <w:tcW w:type="dxa" w:w="326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Институциональная защита</w:t>
            </w:r>
          </w:p>
        </w:tc>
      </w:tr>
      <w:tr>
        <w:trPr>
          <w:cantSplit/>
        </w:trPr>
        <w:tc>
          <w:tcPr>
            <w:tcW w:type="dxa" w:w="22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6"/>
              </w:rPr>
              <w:t>Заказчик</w:t>
            </w:r>
          </w:p>
        </w:tc>
        <w:tc>
          <w:tcPr>
            <w:tcW w:type="dxa" w:w="38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мандат, цели, территория, доступ к данным</w:t>
            </w:r>
          </w:p>
        </w:tc>
        <w:tc>
          <w:tcPr>
            <w:tcW w:type="dxa" w:w="32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утверждает пилот и отвечает за использование результатов</w:t>
            </w:r>
          </w:p>
        </w:tc>
      </w:tr>
      <w:tr>
        <w:trPr>
          <w:cantSplit/>
        </w:trPr>
        <w:tc>
          <w:tcPr>
            <w:tcW w:type="dxa" w:w="22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6"/>
              </w:rPr>
              <w:t>Научно-методический оператор</w:t>
            </w:r>
          </w:p>
        </w:tc>
        <w:tc>
          <w:tcPr>
            <w:tcW w:type="dxa" w:w="38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классификатор, индикаторы, модели, чувствительность</w:t>
            </w:r>
          </w:p>
        </w:tc>
        <w:tc>
          <w:tcPr>
            <w:tcW w:type="dxa" w:w="326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публикует методику и ограничения</w:t>
            </w:r>
          </w:p>
        </w:tc>
      </w:tr>
      <w:tr>
        <w:trPr>
          <w:cantSplit/>
        </w:trPr>
        <w:tc>
          <w:tcPr>
            <w:tcW w:type="dxa" w:w="22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6"/>
              </w:rPr>
              <w:t>Совет по правам и этике</w:t>
            </w:r>
          </w:p>
        </w:tc>
        <w:tc>
          <w:tcPr>
            <w:tcW w:type="dxa" w:w="38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достоинство, недискриминация, приватность, обжалование</w:t>
            </w:r>
          </w:p>
        </w:tc>
        <w:tc>
          <w:tcPr>
            <w:tcW w:type="dxa" w:w="32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имеет право остановить высокорисковое применение</w:t>
            </w:r>
          </w:p>
        </w:tc>
      </w:tr>
      <w:tr>
        <w:trPr>
          <w:cantSplit/>
        </w:trPr>
        <w:tc>
          <w:tcPr>
            <w:tcW w:type="dxa" w:w="22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6"/>
              </w:rPr>
              <w:t>Культурно-общественный совет</w:t>
            </w:r>
          </w:p>
        </w:tc>
        <w:tc>
          <w:tcPr>
            <w:tcW w:type="dxa" w:w="38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ценности, память, разнообразие, местное знание</w:t>
            </w:r>
          </w:p>
        </w:tc>
        <w:tc>
          <w:tcPr>
            <w:tcW w:type="dxa" w:w="326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фиксирует позиции и несогласие, не заменяя все общество</w:t>
            </w:r>
          </w:p>
        </w:tc>
      </w:tr>
      <w:tr>
        <w:trPr>
          <w:cantSplit/>
        </w:trPr>
        <w:tc>
          <w:tcPr>
            <w:tcW w:type="dxa" w:w="22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6"/>
              </w:rPr>
              <w:t>Владельцы данных</w:t>
            </w:r>
          </w:p>
        </w:tc>
        <w:tc>
          <w:tcPr>
            <w:tcW w:type="dxa" w:w="38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качество, законность, периодичность, безопасность</w:t>
            </w:r>
          </w:p>
        </w:tc>
        <w:tc>
          <w:tcPr>
            <w:tcW w:type="dxa" w:w="32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подписывают паспорт каждого источника</w:t>
            </w:r>
          </w:p>
        </w:tc>
      </w:tr>
      <w:tr>
        <w:trPr>
          <w:cantSplit/>
        </w:trPr>
        <w:tc>
          <w:tcPr>
            <w:tcW w:type="dxa" w:w="22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6"/>
              </w:rPr>
              <w:t>Исполнители пилотов</w:t>
            </w:r>
          </w:p>
        </w:tc>
        <w:tc>
          <w:tcPr>
            <w:tcW w:type="dxa" w:w="38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проектные пакеты и операционные результаты</w:t>
            </w:r>
          </w:p>
        </w:tc>
        <w:tc>
          <w:tcPr>
            <w:tcW w:type="dxa" w:w="326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не осуществляют единоличную оценку эффекта</w:t>
            </w:r>
          </w:p>
        </w:tc>
      </w:tr>
      <w:tr>
        <w:trPr>
          <w:cantSplit/>
        </w:trPr>
        <w:tc>
          <w:tcPr>
            <w:tcW w:type="dxa" w:w="22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6"/>
              </w:rPr>
              <w:t>Независимый верификатор</w:t>
            </w:r>
          </w:p>
        </w:tc>
        <w:tc>
          <w:tcPr>
            <w:tcW w:type="dxa" w:w="38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воспроизводимость, эффект, побочные последствия</w:t>
            </w:r>
          </w:p>
        </w:tc>
        <w:tc>
          <w:tcPr>
            <w:tcW w:type="dxa" w:w="32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публикует заключение до решения о масштабировании</w:t>
            </w:r>
          </w:p>
        </w:tc>
      </w:tr>
    </w:tbl>
    <w:p>
      <w:pPr>
        <w:spacing w:after="0"/>
      </w:pPr>
    </w:p>
    <w:p>
      <w:pPr>
        <w:pStyle w:val="Heading2"/>
      </w:pPr>
      <w:r>
        <w:t>Прозрачность</w:t>
      </w:r>
    </w:p>
    <w:p>
      <w:pPr>
        <w:pStyle w:val="ListBullet"/>
      </w:pPr>
      <w:r>
        <w:t>открытый каталог индикаторов и изменений методики;</w:t>
      </w:r>
    </w:p>
    <w:p>
      <w:pPr>
        <w:pStyle w:val="ListBullet"/>
      </w:pPr>
      <w:r>
        <w:t>реестр конфликтов интересов и источников финансирования;</w:t>
      </w:r>
    </w:p>
    <w:p>
      <w:pPr>
        <w:pStyle w:val="ListBullet"/>
      </w:pPr>
      <w:r>
        <w:t>публикация альтернативных моделей и чувствительности результатов;</w:t>
      </w:r>
    </w:p>
    <w:p>
      <w:pPr>
        <w:pStyle w:val="ListBullet"/>
      </w:pPr>
      <w:r>
        <w:t>право территории и групп на ответ и исправление данных;</w:t>
      </w:r>
    </w:p>
    <w:p>
      <w:pPr>
        <w:pStyle w:val="ListBullet"/>
      </w:pPr>
      <w:r>
        <w:t>срок действия модели: обязательный пересмотр после изменения условий.</w:t>
      </w:r>
    </w:p>
    <w:p>
      <w:pPr>
        <w:pageBreakBefore/>
        <w:spacing w:before="0" w:after="0" w:line="20" w:lineRule="exact"/>
      </w:pPr>
      <w:r>
        <w:rPr>
          <w:color w:val="FFFFFF"/>
          <w:sz w:val="2"/>
        </w:rPr>
        <w:t>​</w:t>
      </w:r>
    </w:p>
    <w:p>
      <w:pPr>
        <w:pStyle w:val="Heading1"/>
      </w:pPr>
      <w:r>
        <w:t>8  Пилотные пакеты</w:t>
      </w:r>
    </w:p>
    <w:p>
      <w:pPr>
        <w:pStyle w:val="Subtitle"/>
      </w:pPr>
      <w:r>
        <w:t>Проверять рамку нужно на реальных решениях, а не только на ретроспективных данных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2200"/>
        <w:gridCol w:w="2730"/>
        <w:gridCol w:w="1850"/>
        <w:gridCol w:w="2580"/>
      </w:tblGrid>
      <w:tr>
        <w:trPr>
          <w:tblHeader w:val="true"/>
          <w:cantSplit/>
        </w:trPr>
        <w:tc>
          <w:tcPr>
            <w:tcW w:type="dxa" w:w="220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Пакет</w:t>
            </w:r>
          </w:p>
        </w:tc>
        <w:tc>
          <w:tcPr>
            <w:tcW w:type="dxa" w:w="273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Цель</w:t>
            </w:r>
          </w:p>
        </w:tc>
        <w:tc>
          <w:tcPr>
            <w:tcW w:type="dxa" w:w="185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Связанные балансы</w:t>
            </w:r>
          </w:p>
        </w:tc>
        <w:tc>
          <w:tcPr>
            <w:tcW w:type="dxa" w:w="258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Проверяемый результат</w:t>
            </w:r>
          </w:p>
        </w:tc>
      </w:tr>
      <w:tr>
        <w:trPr>
          <w:cantSplit/>
        </w:trPr>
        <w:tc>
          <w:tcPr>
            <w:tcW w:type="dxa" w:w="22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6"/>
              </w:rPr>
              <w:t>Семья — культура — демография</w:t>
            </w:r>
          </w:p>
        </w:tc>
        <w:tc>
          <w:tcPr>
            <w:tcW w:type="dxa" w:w="273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поддержка семейной устойчивости и межпоколенческой передачи</w:t>
            </w:r>
          </w:p>
        </w:tc>
        <w:tc>
          <w:tcPr>
            <w:tcW w:type="dxa" w:w="18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1, 2, 4, 5, 6, 12, 15, 17</w:t>
            </w:r>
          </w:p>
        </w:tc>
        <w:tc>
          <w:tcPr>
            <w:tcW w:type="dxa" w:w="258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изменение доступности, времени, доверия и жизненных планов</w:t>
            </w:r>
          </w:p>
        </w:tc>
      </w:tr>
      <w:tr>
        <w:trPr>
          <w:cantSplit/>
        </w:trPr>
        <w:tc>
          <w:tcPr>
            <w:tcW w:type="dxa" w:w="22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6"/>
              </w:rPr>
              <w:t>Школа — культура — когнитивная устойчивость</w:t>
            </w:r>
          </w:p>
        </w:tc>
        <w:tc>
          <w:tcPr>
            <w:tcW w:type="dxa" w:w="273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образовательная среда, соединяющая знания, искусство и медиаграмотность</w:t>
            </w:r>
          </w:p>
        </w:tc>
        <w:tc>
          <w:tcPr>
            <w:tcW w:type="dxa" w:w="18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2, 3, 5, 6, 8, 16, 17</w:t>
            </w:r>
          </w:p>
        </w:tc>
        <w:tc>
          <w:tcPr>
            <w:tcW w:type="dxa" w:w="258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обучение, благополучие, участие, способность различать информацию</w:t>
            </w:r>
          </w:p>
        </w:tc>
      </w:tr>
      <w:tr>
        <w:trPr>
          <w:cantSplit/>
        </w:trPr>
        <w:tc>
          <w:tcPr>
            <w:tcW w:type="dxa" w:w="22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6"/>
              </w:rPr>
              <w:t>Городская среда — культура — сплоченность</w:t>
            </w:r>
          </w:p>
        </w:tc>
        <w:tc>
          <w:tcPr>
            <w:tcW w:type="dxa" w:w="273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обновление пространства без вытеснения и утраты памяти места</w:t>
            </w:r>
          </w:p>
        </w:tc>
        <w:tc>
          <w:tcPr>
            <w:tcW w:type="dxa" w:w="18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5, 6, 7, 8, 12, 13, 17</w:t>
            </w:r>
          </w:p>
        </w:tc>
        <w:tc>
          <w:tcPr>
            <w:tcW w:type="dxa" w:w="258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доступность, соседские связи, безопасность и участие</w:t>
            </w:r>
          </w:p>
        </w:tc>
      </w:tr>
      <w:tr>
        <w:trPr>
          <w:cantSplit/>
        </w:trPr>
        <w:tc>
          <w:tcPr>
            <w:tcW w:type="dxa" w:w="22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6"/>
              </w:rPr>
              <w:t>Культурный ландшафт — природа — здоровье</w:t>
            </w:r>
          </w:p>
        </w:tc>
        <w:tc>
          <w:tcPr>
            <w:tcW w:type="dxa" w:w="273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восстановление территории через наследие и природные решения</w:t>
            </w:r>
          </w:p>
        </w:tc>
        <w:tc>
          <w:tcPr>
            <w:tcW w:type="dxa" w:w="18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2, 5, 9, 10, 11, 12, 15</w:t>
            </w:r>
          </w:p>
        </w:tc>
        <w:tc>
          <w:tcPr>
            <w:tcW w:type="dxa" w:w="258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экологический эффект, здоровье, занятость и идентичность</w:t>
            </w:r>
          </w:p>
        </w:tc>
      </w:tr>
      <w:tr>
        <w:trPr>
          <w:cantSplit/>
        </w:trPr>
        <w:tc>
          <w:tcPr>
            <w:tcW w:type="dxa" w:w="22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6"/>
              </w:rPr>
              <w:t>Диалог — информация — безопасность</w:t>
            </w:r>
          </w:p>
        </w:tc>
        <w:tc>
          <w:tcPr>
            <w:tcW w:type="dxa" w:w="273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снижение поляризации и повышение готовности к кризисам</w:t>
            </w:r>
          </w:p>
        </w:tc>
        <w:tc>
          <w:tcPr>
            <w:tcW w:type="dxa" w:w="18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6, 7, 8, 16, 17, 18, 19</w:t>
            </w:r>
          </w:p>
        </w:tc>
        <w:tc>
          <w:tcPr>
            <w:tcW w:type="dxa" w:w="258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доверие, качество информации, участие и устойчивость функций</w:t>
            </w:r>
          </w:p>
        </w:tc>
      </w:tr>
    </w:tbl>
    <w:p>
      <w:pPr>
        <w:spacing w:after="0"/>
      </w:pPr>
    </w:p>
    <w:p>
      <w:r>
        <w:t>Выбор пилота производится по пяти критериям: наличие ответственного заказчика; реальное решение и бюджет; достаточная базовая линия; возможность сравнения; общественная значимость при управляемом риске.</w:t>
      </w:r>
    </w:p>
    <w:p>
      <w:pPr>
        <w:pageBreakBefore/>
        <w:spacing w:before="0" w:after="0" w:line="20" w:lineRule="exact"/>
      </w:pPr>
      <w:r>
        <w:rPr>
          <w:color w:val="FFFFFF"/>
          <w:sz w:val="2"/>
        </w:rPr>
        <w:t>​</w:t>
      </w:r>
    </w:p>
    <w:p>
      <w:pPr>
        <w:pStyle w:val="Heading1"/>
      </w:pPr>
      <w:r>
        <w:t>8.1  Дорожная карта на 24 месяца</w:t>
      </w:r>
    </w:p>
    <w:p>
      <w:pPr>
        <w:pStyle w:val="Subtitle"/>
      </w:pPr>
      <w:r>
        <w:t>Первые 12 месяцев дают работающий прототип, следующие 12 — доказательство эффекта и масштабируемость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000"/>
        <w:gridCol w:w="1700"/>
        <w:gridCol w:w="3950"/>
        <w:gridCol w:w="2710"/>
      </w:tblGrid>
      <w:tr>
        <w:trPr>
          <w:tblHeader w:val="true"/>
          <w:cantSplit/>
        </w:trPr>
        <w:tc>
          <w:tcPr>
            <w:tcW w:type="dxa" w:w="100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Месяцы</w:t>
            </w:r>
          </w:p>
        </w:tc>
        <w:tc>
          <w:tcPr>
            <w:tcW w:type="dxa" w:w="170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Этап</w:t>
            </w:r>
          </w:p>
        </w:tc>
        <w:tc>
          <w:tcPr>
            <w:tcW w:type="dxa" w:w="395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Основные работы</w:t>
            </w:r>
          </w:p>
        </w:tc>
        <w:tc>
          <w:tcPr>
            <w:tcW w:type="dxa" w:w="271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Контрольный продукт</w:t>
            </w:r>
          </w:p>
        </w:tc>
      </w:tr>
      <w:tr>
        <w:trPr>
          <w:cantSplit/>
        </w:trPr>
        <w:tc>
          <w:tcPr>
            <w:tcW w:type="dxa" w:w="10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6"/>
              </w:rPr>
              <w:t>0–2</w:t>
            </w:r>
          </w:p>
        </w:tc>
        <w:tc>
          <w:tcPr>
            <w:tcW w:type="dxa" w:w="17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Мандат и границы</w:t>
            </w:r>
          </w:p>
        </w:tc>
        <w:tc>
          <w:tcPr>
            <w:tcW w:type="dxa" w:w="39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заказчик; территория; цели; правовой и этический контур</w:t>
            </w:r>
          </w:p>
        </w:tc>
        <w:tc>
          <w:tcPr>
            <w:tcW w:type="dxa" w:w="271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утвержденный паспорт пилота</w:t>
            </w:r>
          </w:p>
        </w:tc>
      </w:tr>
      <w:tr>
        <w:trPr>
          <w:cantSplit/>
        </w:trPr>
        <w:tc>
          <w:tcPr>
            <w:tcW w:type="dxa" w:w="10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6"/>
              </w:rPr>
              <w:t>3–5</w:t>
            </w:r>
          </w:p>
        </w:tc>
        <w:tc>
          <w:tcPr>
            <w:tcW w:type="dxa" w:w="17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Методика</w:t>
            </w:r>
          </w:p>
        </w:tc>
        <w:tc>
          <w:tcPr>
            <w:tcW w:type="dxa" w:w="39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19 балансов; индикаторы; источники; красные линии; участие</w:t>
            </w:r>
          </w:p>
        </w:tc>
        <w:tc>
          <w:tcPr>
            <w:tcW w:type="dxa" w:w="271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версия 0.8 классификатора и реестр данных</w:t>
            </w:r>
          </w:p>
        </w:tc>
      </w:tr>
      <w:tr>
        <w:trPr>
          <w:cantSplit/>
        </w:trPr>
        <w:tc>
          <w:tcPr>
            <w:tcW w:type="dxa" w:w="10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6"/>
              </w:rPr>
              <w:t>6–8</w:t>
            </w:r>
          </w:p>
        </w:tc>
        <w:tc>
          <w:tcPr>
            <w:tcW w:type="dxa" w:w="17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Базовая линия</w:t>
            </w:r>
          </w:p>
        </w:tc>
        <w:tc>
          <w:tcPr>
            <w:tcW w:type="dxa" w:w="39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сбор и верификация; карта разрывов; качество данных</w:t>
            </w:r>
          </w:p>
        </w:tc>
        <w:tc>
          <w:tcPr>
            <w:tcW w:type="dxa" w:w="271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панель 19 × 5 с интервалами неопределенности</w:t>
            </w:r>
          </w:p>
        </w:tc>
      </w:tr>
      <w:tr>
        <w:trPr>
          <w:cantSplit/>
        </w:trPr>
        <w:tc>
          <w:tcPr>
            <w:tcW w:type="dxa" w:w="10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6"/>
              </w:rPr>
              <w:t>9–11</w:t>
            </w:r>
          </w:p>
        </w:tc>
        <w:tc>
          <w:tcPr>
            <w:tcW w:type="dxa" w:w="17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Причинная модель</w:t>
            </w:r>
          </w:p>
        </w:tc>
        <w:tc>
          <w:tcPr>
            <w:tcW w:type="dxa" w:w="39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гипотезы; сценарии; каскады; чувствительность</w:t>
            </w:r>
          </w:p>
        </w:tc>
        <w:tc>
          <w:tcPr>
            <w:tcW w:type="dxa" w:w="271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сценарное заключение и дизайн пилотов</w:t>
            </w:r>
          </w:p>
        </w:tc>
      </w:tr>
      <w:tr>
        <w:trPr>
          <w:cantSplit/>
        </w:trPr>
        <w:tc>
          <w:tcPr>
            <w:tcW w:type="dxa" w:w="10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6"/>
              </w:rPr>
              <w:t>12–17</w:t>
            </w:r>
          </w:p>
        </w:tc>
        <w:tc>
          <w:tcPr>
            <w:tcW w:type="dxa" w:w="17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Реализация</w:t>
            </w:r>
          </w:p>
        </w:tc>
        <w:tc>
          <w:tcPr>
            <w:tcW w:type="dxa" w:w="39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проектные пакеты; контракты результата; мониторинг</w:t>
            </w:r>
          </w:p>
        </w:tc>
        <w:tc>
          <w:tcPr>
            <w:tcW w:type="dxa" w:w="271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первые операционные эффекты и журнал решений</w:t>
            </w:r>
          </w:p>
        </w:tc>
      </w:tr>
      <w:tr>
        <w:trPr>
          <w:cantSplit/>
        </w:trPr>
        <w:tc>
          <w:tcPr>
            <w:tcW w:type="dxa" w:w="10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6"/>
              </w:rPr>
              <w:t>18–21</w:t>
            </w:r>
          </w:p>
        </w:tc>
        <w:tc>
          <w:tcPr>
            <w:tcW w:type="dxa" w:w="17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Оценка</w:t>
            </w:r>
          </w:p>
        </w:tc>
        <w:tc>
          <w:tcPr>
            <w:tcW w:type="dxa" w:w="39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сравнение; качественная проверка; побочные эффекты; аудит</w:t>
            </w:r>
          </w:p>
        </w:tc>
        <w:tc>
          <w:tcPr>
            <w:tcW w:type="dxa" w:w="271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независимое заключение</w:t>
            </w:r>
          </w:p>
        </w:tc>
      </w:tr>
      <w:tr>
        <w:trPr>
          <w:cantSplit/>
        </w:trPr>
        <w:tc>
          <w:tcPr>
            <w:tcW w:type="dxa" w:w="10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6"/>
              </w:rPr>
              <w:t>22–24</w:t>
            </w:r>
          </w:p>
        </w:tc>
        <w:tc>
          <w:tcPr>
            <w:tcW w:type="dxa" w:w="17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Масштабирование</w:t>
            </w:r>
          </w:p>
        </w:tc>
        <w:tc>
          <w:tcPr>
            <w:tcW w:type="dxa" w:w="39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обновление методики; институционализация; обмен</w:t>
            </w:r>
          </w:p>
        </w:tc>
        <w:tc>
          <w:tcPr>
            <w:tcW w:type="dxa" w:w="271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6"/>
              </w:rPr>
              <w:t>решение о масштабировании или остановке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420"/>
        <w:gridCol w:w="7940"/>
      </w:tblGrid>
      <w:tr>
        <w:tc>
          <w:tcPr>
            <w:tcW w:type="dxa" w:w="142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</w:tcPr>
          <w:p>
            <w:pPr>
              <w:jc w:val="left"/>
            </w:pPr>
            <w:r>
              <w:rPr>
                <w:b/>
                <w:color w:val="FFFFFF"/>
                <w:sz w:val="18"/>
              </w:rPr>
              <w:t>12 МЕСЯЦЕВ</w:t>
            </w:r>
          </w:p>
        </w:tc>
        <w:tc>
          <w:tcPr>
            <w:tcW w:type="dxa" w:w="7940"/>
            <w:tcMar>
              <w:top w:w="90" w:type="dxa"/>
              <w:start w:w="100" w:type="dxa"/>
              <w:bottom w:w="90" w:type="dxa"/>
              <w:end w:w="100" w:type="dxa"/>
            </w:tcMar>
            <w:shd w:fill="EEF5FC"/>
          </w:tcPr>
          <w:p>
            <w:pPr>
              <w:jc w:val="left"/>
            </w:pPr>
            <w:r>
              <w:rPr>
                <w:b w:val="0"/>
                <w:color w:val="1D2733"/>
                <w:sz w:val="20"/>
              </w:rPr>
              <w:t>Минимальный результат первой фазы: открытая методика, базовая панель, причинная модель, три сценария, один–два запущенных пакета и независимая проверка готовности.</w:t>
            </w:r>
          </w:p>
        </w:tc>
      </w:tr>
    </w:tbl>
    <w:p>
      <w:pPr>
        <w:spacing w:after="0"/>
      </w:pPr>
    </w:p>
    <w:p>
      <w:pPr>
        <w:pageBreakBefore/>
        <w:spacing w:before="0" w:after="0" w:line="20" w:lineRule="exact"/>
      </w:pPr>
      <w:r>
        <w:rPr>
          <w:color w:val="FFFFFF"/>
          <w:sz w:val="2"/>
        </w:rPr>
        <w:t>​</w:t>
      </w:r>
    </w:p>
    <w:p>
      <w:pPr>
        <w:pStyle w:val="Heading1"/>
      </w:pPr>
      <w:r>
        <w:t>9  Риски применения и меры защиты</w:t>
      </w:r>
    </w:p>
    <w:p>
      <w:pPr>
        <w:pStyle w:val="Subtitle"/>
      </w:pPr>
      <w:r>
        <w:t>Главная угроза — превратить живую систему в непрозрачный рейтинг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2000"/>
        <w:gridCol w:w="3300"/>
        <w:gridCol w:w="4060"/>
      </w:tblGrid>
      <w:tr>
        <w:trPr>
          <w:tblHeader w:val="true"/>
          <w:cantSplit/>
        </w:trPr>
        <w:tc>
          <w:tcPr>
            <w:tcW w:type="dxa" w:w="200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Риск</w:t>
            </w:r>
          </w:p>
        </w:tc>
        <w:tc>
          <w:tcPr>
            <w:tcW w:type="dxa" w:w="330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Как проявляется</w:t>
            </w:r>
          </w:p>
        </w:tc>
        <w:tc>
          <w:tcPr>
            <w:tcW w:type="dxa" w:w="406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Защита</w:t>
            </w:r>
          </w:p>
        </w:tc>
      </w:tr>
      <w:tr>
        <w:trPr>
          <w:cantSplit/>
        </w:trPr>
        <w:tc>
          <w:tcPr>
            <w:tcW w:type="dxa" w:w="20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Ложная точность</w:t>
            </w:r>
          </w:p>
        </w:tc>
        <w:tc>
          <w:tcPr>
            <w:tcW w:type="dxa" w:w="33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индекс выглядит объективнее, чем данные и допущения</w:t>
            </w:r>
          </w:p>
        </w:tc>
        <w:tc>
          <w:tcPr>
            <w:tcW w:type="dxa" w:w="40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интервалы, чувствительность, маркировка [Д/Р/С/Э/Н]</w:t>
            </w:r>
          </w:p>
        </w:tc>
      </w:tr>
      <w:tr>
        <w:trPr>
          <w:cantSplit/>
        </w:trPr>
        <w:tc>
          <w:tcPr>
            <w:tcW w:type="dxa" w:w="20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Компенсация слабых звеньев</w:t>
            </w:r>
          </w:p>
        </w:tc>
        <w:tc>
          <w:tcPr>
            <w:tcW w:type="dxa" w:w="33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высокие значения скрывают критический разрыв</w:t>
            </w:r>
          </w:p>
        </w:tc>
        <w:tc>
          <w:tcPr>
            <w:tcW w:type="dxa" w:w="406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геометрическая свертка, минимум M, красные линии</w:t>
            </w:r>
          </w:p>
        </w:tc>
      </w:tr>
      <w:tr>
        <w:trPr>
          <w:cantSplit/>
        </w:trPr>
        <w:tc>
          <w:tcPr>
            <w:tcW w:type="dxa" w:w="20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Культурная унификация</w:t>
            </w:r>
          </w:p>
        </w:tc>
        <w:tc>
          <w:tcPr>
            <w:tcW w:type="dxa" w:w="33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одна шкала подавляет различия</w:t>
            </w:r>
          </w:p>
        </w:tc>
        <w:tc>
          <w:tcPr>
            <w:tcW w:type="dxa" w:w="40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множественные качественные свидетельства, локальная валидация, право на несогласие</w:t>
            </w:r>
          </w:p>
        </w:tc>
      </w:tr>
      <w:tr>
        <w:trPr>
          <w:cantSplit/>
        </w:trPr>
        <w:tc>
          <w:tcPr>
            <w:tcW w:type="dxa" w:w="20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Слежка и дискриминация</w:t>
            </w:r>
          </w:p>
        </w:tc>
        <w:tc>
          <w:tcPr>
            <w:tcW w:type="dxa" w:w="33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детальные данные используются против людей</w:t>
            </w:r>
          </w:p>
        </w:tc>
        <w:tc>
          <w:tcPr>
            <w:tcW w:type="dxa" w:w="406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минимизация данных, правовое основание, аудит, обжалование</w:t>
            </w:r>
          </w:p>
        </w:tc>
      </w:tr>
      <w:tr>
        <w:trPr>
          <w:cantSplit/>
        </w:trPr>
        <w:tc>
          <w:tcPr>
            <w:tcW w:type="dxa" w:w="20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Захват участия</w:t>
            </w:r>
          </w:p>
        </w:tc>
        <w:tc>
          <w:tcPr>
            <w:tcW w:type="dxa" w:w="33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активная группа объявляет себя голосом всех</w:t>
            </w:r>
          </w:p>
        </w:tc>
        <w:tc>
          <w:tcPr>
            <w:tcW w:type="dxa" w:w="40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карта репрезентативности, квоты доступа, открытый протокол</w:t>
            </w:r>
          </w:p>
        </w:tc>
      </w:tr>
      <w:tr>
        <w:trPr>
          <w:cantSplit/>
        </w:trPr>
        <w:tc>
          <w:tcPr>
            <w:tcW w:type="dxa" w:w="20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Политизация модели</w:t>
            </w:r>
          </w:p>
        </w:tc>
        <w:tc>
          <w:tcPr>
            <w:tcW w:type="dxa" w:w="33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параметры подгоняются под желаемый результат</w:t>
            </w:r>
          </w:p>
        </w:tc>
        <w:tc>
          <w:tcPr>
            <w:tcW w:type="dxa" w:w="406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версионирование, независимый верификатор, публикация альтернатив</w:t>
            </w:r>
          </w:p>
        </w:tc>
      </w:tr>
      <w:tr>
        <w:trPr>
          <w:cantSplit/>
        </w:trPr>
        <w:tc>
          <w:tcPr>
            <w:tcW w:type="dxa" w:w="20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Подмена решения мониторингом</w:t>
            </w:r>
          </w:p>
        </w:tc>
        <w:tc>
          <w:tcPr>
            <w:tcW w:type="dxa" w:w="33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панель существует без владельца действия</w:t>
            </w:r>
          </w:p>
        </w:tc>
        <w:tc>
          <w:tcPr>
            <w:tcW w:type="dxa" w:w="40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обязательный контракт результата и ответственный</w:t>
            </w:r>
          </w:p>
        </w:tc>
      </w:tr>
      <w:tr>
        <w:trPr>
          <w:cantSplit/>
        </w:trPr>
        <w:tc>
          <w:tcPr>
            <w:tcW w:type="dxa" w:w="20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Внешняя зависимость</w:t>
            </w:r>
          </w:p>
        </w:tc>
        <w:tc>
          <w:tcPr>
            <w:tcW w:type="dxa" w:w="33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критические данные и модели недоступны или неуправляемы</w:t>
            </w:r>
          </w:p>
        </w:tc>
        <w:tc>
          <w:tcPr>
            <w:tcW w:type="dxa" w:w="406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открытые форматы, локальные компетенции, резервирование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420"/>
        <w:gridCol w:w="7940"/>
      </w:tblGrid>
      <w:tr>
        <w:tc>
          <w:tcPr>
            <w:tcW w:type="dxa" w:w="142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</w:tcPr>
          <w:p>
            <w:pPr>
              <w:jc w:val="left"/>
            </w:pPr>
            <w:r>
              <w:rPr>
                <w:b/>
                <w:color w:val="FFFFFF"/>
                <w:sz w:val="18"/>
              </w:rPr>
              <w:t>ЭТИЧЕСКИЙ МИНИМУМ</w:t>
            </w:r>
          </w:p>
        </w:tc>
        <w:tc>
          <w:tcPr>
            <w:tcW w:type="dxa" w:w="7940"/>
            <w:tcMar>
              <w:top w:w="90" w:type="dxa"/>
              <w:start w:w="100" w:type="dxa"/>
              <w:bottom w:w="90" w:type="dxa"/>
              <w:end w:w="100" w:type="dxa"/>
            </w:tcMar>
            <w:shd w:fill="F9EEEE"/>
          </w:tcPr>
          <w:p>
            <w:pPr>
              <w:jc w:val="left"/>
            </w:pPr>
            <w:r>
              <w:rPr>
                <w:b w:val="0"/>
                <w:color w:val="1D2733"/>
                <w:sz w:val="20"/>
              </w:rPr>
              <w:t>Ни одно автоматизированное заключение не может единолично ограничить право, доступ к базовой услуге или свободу человека. Нужны человеческое рассмотрение, объяснение и возможность обжалования.</w:t>
            </w:r>
          </w:p>
        </w:tc>
      </w:tr>
    </w:tbl>
    <w:p>
      <w:pPr>
        <w:spacing w:after="0"/>
      </w:pPr>
    </w:p>
    <w:p>
      <w:pPr>
        <w:pageBreakBefore/>
        <w:spacing w:before="0" w:after="0" w:line="20" w:lineRule="exact"/>
      </w:pPr>
      <w:r>
        <w:rPr>
          <w:color w:val="FFFFFF"/>
          <w:sz w:val="2"/>
        </w:rPr>
        <w:t>​</w:t>
      </w:r>
    </w:p>
    <w:p>
      <w:pPr>
        <w:pStyle w:val="Heading1"/>
      </w:pPr>
      <w:r>
        <w:t>9.1  Что и как валидировать</w:t>
      </w:r>
    </w:p>
    <w:p>
      <w:pPr>
        <w:pStyle w:val="Subtitle"/>
      </w:pPr>
      <w:r>
        <w:t>Зрелая рамка выдерживает содержательную, причинную и этическую проверку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900"/>
        <w:gridCol w:w="3700"/>
        <w:gridCol w:w="3760"/>
      </w:tblGrid>
      <w:tr>
        <w:trPr>
          <w:tblHeader w:val="true"/>
          <w:cantSplit/>
        </w:trPr>
        <w:tc>
          <w:tcPr>
            <w:tcW w:type="dxa" w:w="190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Вид проверки</w:t>
            </w:r>
          </w:p>
        </w:tc>
        <w:tc>
          <w:tcPr>
            <w:tcW w:type="dxa" w:w="370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Вопрос</w:t>
            </w:r>
          </w:p>
        </w:tc>
        <w:tc>
          <w:tcPr>
            <w:tcW w:type="dxa" w:w="376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Методы</w:t>
            </w:r>
          </w:p>
        </w:tc>
      </w:tr>
      <w:tr>
        <w:trPr>
          <w:cantSplit/>
        </w:trPr>
        <w:tc>
          <w:tcPr>
            <w:tcW w:type="dxa" w:w="19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Содержательная</w:t>
            </w:r>
          </w:p>
        </w:tc>
        <w:tc>
          <w:tcPr>
            <w:tcW w:type="dxa" w:w="37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действительно ли индикаторы отражают баланс</w:t>
            </w:r>
          </w:p>
        </w:tc>
        <w:tc>
          <w:tcPr>
            <w:tcW w:type="dxa" w:w="37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экспертные панели, культурная и территориальная проверка</w:t>
            </w:r>
          </w:p>
        </w:tc>
      </w:tr>
      <w:tr>
        <w:trPr>
          <w:cantSplit/>
        </w:trPr>
        <w:tc>
          <w:tcPr>
            <w:tcW w:type="dxa" w:w="19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Конструктная</w:t>
            </w:r>
          </w:p>
        </w:tc>
        <w:tc>
          <w:tcPr>
            <w:tcW w:type="dxa" w:w="37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соотносятся ли показатели с близкими и отличными понятиями</w:t>
            </w:r>
          </w:p>
        </w:tc>
        <w:tc>
          <w:tcPr>
            <w:tcW w:type="dxa" w:w="376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статистические тесты, альтернативные спецификации</w:t>
            </w:r>
          </w:p>
        </w:tc>
      </w:tr>
      <w:tr>
        <w:trPr>
          <w:cantSplit/>
        </w:trPr>
        <w:tc>
          <w:tcPr>
            <w:tcW w:type="dxa" w:w="19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Причинная</w:t>
            </w:r>
          </w:p>
        </w:tc>
        <w:tc>
          <w:tcPr>
            <w:tcW w:type="dxa" w:w="37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объясняет ли модель механизм изменения</w:t>
            </w:r>
          </w:p>
        </w:tc>
        <w:tc>
          <w:tcPr>
            <w:tcW w:type="dxa" w:w="37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квазиэксперименты, естественные эксперименты, процесс-трейсинг</w:t>
            </w:r>
          </w:p>
        </w:tc>
      </w:tr>
      <w:tr>
        <w:trPr>
          <w:cantSplit/>
        </w:trPr>
        <w:tc>
          <w:tcPr>
            <w:tcW w:type="dxa" w:w="19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Прогностическая</w:t>
            </w:r>
          </w:p>
        </w:tc>
        <w:tc>
          <w:tcPr>
            <w:tcW w:type="dxa" w:w="37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насколько ранние сигналы предвосхищают события</w:t>
            </w:r>
          </w:p>
        </w:tc>
        <w:tc>
          <w:tcPr>
            <w:tcW w:type="dxa" w:w="376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ретроспективное тестирование и последующая проверка</w:t>
            </w:r>
          </w:p>
        </w:tc>
      </w:tr>
      <w:tr>
        <w:trPr>
          <w:cantSplit/>
        </w:trPr>
        <w:tc>
          <w:tcPr>
            <w:tcW w:type="dxa" w:w="19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Управленческая</w:t>
            </w:r>
          </w:p>
        </w:tc>
        <w:tc>
          <w:tcPr>
            <w:tcW w:type="dxa" w:w="37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улучшает ли рамка качество решения</w:t>
            </w:r>
          </w:p>
        </w:tc>
        <w:tc>
          <w:tcPr>
            <w:tcW w:type="dxa" w:w="37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сравнение циклов принятия решений и времени реакции</w:t>
            </w:r>
          </w:p>
        </w:tc>
      </w:tr>
      <w:tr>
        <w:trPr>
          <w:cantSplit/>
        </w:trPr>
        <w:tc>
          <w:tcPr>
            <w:tcW w:type="dxa" w:w="19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Этическая</w:t>
            </w:r>
          </w:p>
        </w:tc>
        <w:tc>
          <w:tcPr>
            <w:tcW w:type="dxa" w:w="37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не создает ли применение недопустимый ущерб</w:t>
            </w:r>
          </w:p>
        </w:tc>
        <w:tc>
          <w:tcPr>
            <w:tcW w:type="dxa" w:w="376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аудит прав, приватности, дискриминации и возможности обжалования</w:t>
            </w:r>
          </w:p>
        </w:tc>
      </w:tr>
      <w:tr>
        <w:trPr>
          <w:cantSplit/>
        </w:trPr>
        <w:tc>
          <w:tcPr>
            <w:tcW w:type="dxa" w:w="19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Внешняя</w:t>
            </w:r>
          </w:p>
        </w:tc>
        <w:tc>
          <w:tcPr>
            <w:tcW w:type="dxa" w:w="37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переносимы ли выводы между территориями</w:t>
            </w:r>
          </w:p>
        </w:tc>
        <w:tc>
          <w:tcPr>
            <w:tcW w:type="dxa" w:w="37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повторение пилотов, явное описание контекста и границ</w:t>
            </w:r>
          </w:p>
        </w:tc>
      </w:tr>
    </w:tbl>
    <w:p>
      <w:pPr>
        <w:spacing w:after="0"/>
      </w:pPr>
    </w:p>
    <w:p>
      <w:r>
        <w:t>Решение о масштабировании принимается только после публикации как положительных, так и отрицательных результатов пилота. Несработавшая гипотеза — полезный результат, если она позволяет изменить модель до высокорискового применения.</w:t>
      </w:r>
    </w:p>
    <w:p>
      <w:pPr>
        <w:pageBreakBefore/>
        <w:spacing w:before="0" w:after="0" w:line="20" w:lineRule="exact"/>
      </w:pPr>
      <w:r>
        <w:rPr>
          <w:color w:val="FFFFFF"/>
          <w:sz w:val="2"/>
        </w:rPr>
        <w:t>​</w:t>
      </w:r>
    </w:p>
    <w:p>
      <w:pPr>
        <w:pStyle w:val="Heading1"/>
      </w:pPr>
      <w:r>
        <w:t>9.2  Международная и межкультурная применимость</w:t>
      </w:r>
    </w:p>
    <w:p>
      <w:pPr>
        <w:pStyle w:val="Subtitle"/>
      </w:pPr>
      <w:r>
        <w:t>Общая грамматика проблем без единой обязательной картины мира</w:t>
      </w:r>
    </w:p>
    <w:p>
      <w:r>
        <w:t>Рамка может поддерживать международный обмен, если используется как язык сопоставления вопросов, а не рейтинг культур и государств. UNESCO рассматривает культуру как глобальное общественное благо и все чаще помещает ее в центр устойчивого развития [2; 3]. UNDP подчеркивает, что критерием прогресса являются человеческие возможности, а не экономический рост сам по себе [12; 13].</w:t>
      </w:r>
    </w:p>
    <w:p>
      <w:pPr>
        <w:pStyle w:val="Heading2"/>
      </w:pPr>
      <w:r>
        <w:t>Принципы сотрудничества</w:t>
      </w:r>
    </w:p>
    <w:p>
      <w:pPr>
        <w:pStyle w:val="ListBullet"/>
      </w:pPr>
      <w:r>
        <w:t>универсальны достоинство, права и запрет неприемлемого ущерба; конкретные культурные выражения разнообразны;</w:t>
      </w:r>
    </w:p>
    <w:p>
      <w:pPr>
        <w:pStyle w:val="ListBullet"/>
      </w:pPr>
      <w:r>
        <w:t>сопоставляются определения, источники и направления динамики, а не только итоговые места;</w:t>
      </w:r>
    </w:p>
    <w:p>
      <w:pPr>
        <w:pStyle w:val="ListBullet"/>
      </w:pPr>
      <w:r>
        <w:t>каждая сторона сохраняет контроль над критическими данными и участвует в интерпретации;</w:t>
      </w:r>
    </w:p>
    <w:p>
      <w:pPr>
        <w:pStyle w:val="ListBullet"/>
      </w:pPr>
      <w:r>
        <w:t>обмен должен создавать взаимные способности, а не одностороннюю зависимость;</w:t>
      </w:r>
    </w:p>
    <w:p>
      <w:pPr>
        <w:pStyle w:val="ListBullet"/>
      </w:pPr>
      <w:r>
        <w:t>мир и договороспособность являются самостоятельным результатом, а не внешним условием модели.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420"/>
        <w:gridCol w:w="7940"/>
      </w:tblGrid>
      <w:tr>
        <w:tc>
          <w:tcPr>
            <w:tcW w:type="dxa" w:w="142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</w:tcPr>
          <w:p>
            <w:pPr>
              <w:jc w:val="left"/>
            </w:pPr>
            <w:r>
              <w:rPr>
                <w:b/>
                <w:color w:val="FFFFFF"/>
                <w:sz w:val="18"/>
              </w:rPr>
              <w:t>ФОРМАТ</w:t>
            </w:r>
          </w:p>
        </w:tc>
        <w:tc>
          <w:tcPr>
            <w:tcW w:type="dxa" w:w="7940"/>
            <w:tcMar>
              <w:top w:w="90" w:type="dxa"/>
              <w:start w:w="100" w:type="dxa"/>
              <w:bottom w:w="90" w:type="dxa"/>
              <w:end w:w="100" w:type="dxa"/>
            </w:tcMar>
            <w:shd w:fill="EEF5FC"/>
          </w:tcPr>
          <w:p>
            <w:pPr>
              <w:jc w:val="left"/>
            </w:pPr>
            <w:r>
              <w:rPr>
                <w:b w:val="0"/>
                <w:color w:val="1D2733"/>
                <w:sz w:val="20"/>
              </w:rPr>
              <w:t>Международная сеть пилотов может публиковать общий минимальный набор метаданных, локальные наборы индикаторов и совместные исследования причинных механизмов без принуждения к единому интегральному индексу.</w:t>
            </w:r>
          </w:p>
        </w:tc>
      </w:tr>
    </w:tbl>
    <w:p>
      <w:pPr>
        <w:spacing w:after="0"/>
      </w:pPr>
    </w:p>
    <w:p>
      <w:pPr>
        <w:pageBreakBefore/>
        <w:spacing w:before="0" w:after="0" w:line="20" w:lineRule="exact"/>
      </w:pPr>
      <w:r>
        <w:rPr>
          <w:color w:val="FFFFFF"/>
          <w:sz w:val="2"/>
        </w:rPr>
        <w:t>​</w:t>
      </w:r>
    </w:p>
    <w:p>
      <w:pPr>
        <w:pStyle w:val="Heading1"/>
      </w:pPr>
      <w:r>
        <w:t>10  Решения для запуска</w:t>
      </w:r>
    </w:p>
    <w:p>
      <w:pPr>
        <w:pStyle w:val="Subtitle"/>
      </w:pPr>
      <w:r>
        <w:t>Переход от концепции к проверяемой программе</w:t>
      </w:r>
    </w:p>
    <w:p>
      <w:pPr>
        <w:pStyle w:val="ListNumber"/>
        <w:numPr>
          <w:ilvl w:val="0"/>
          <w:numId w:val="11"/>
        </w:numPr>
      </w:pPr>
      <w:r>
        <w:t>Утвердить рамку «Человек. Культура и мировые балансы» в статусе программы исследований и разработок, а не нормативного рейтинга.</w:t>
      </w:r>
    </w:p>
    <w:p>
      <w:pPr>
        <w:pStyle w:val="ListNumber"/>
        <w:numPr>
          <w:ilvl w:val="0"/>
          <w:numId w:val="11"/>
        </w:numPr>
      </w:pPr>
      <w:r>
        <w:t>Определить заказчика, одну пилотную территорию и один–два конкретных проектных пакета с действующим бюджетом и ответственными.</w:t>
      </w:r>
    </w:p>
    <w:p>
      <w:pPr>
        <w:pStyle w:val="ListNumber"/>
        <w:numPr>
          <w:ilvl w:val="0"/>
          <w:numId w:val="11"/>
        </w:numPr>
      </w:pPr>
      <w:r>
        <w:t>Одобрить проект классификатора 19 балансов и процедуру его культурной, правовой и научной валидации.</w:t>
      </w:r>
    </w:p>
    <w:p>
      <w:pPr>
        <w:pStyle w:val="ListNumber"/>
        <w:numPr>
          <w:ilvl w:val="0"/>
          <w:numId w:val="11"/>
        </w:numPr>
      </w:pPr>
      <w:r>
        <w:t>Обеспечить законный доступ к данным, назначить владельцев и утвердить правила приватности, версионирования и публикации метаданных.</w:t>
      </w:r>
    </w:p>
    <w:p>
      <w:pPr>
        <w:pStyle w:val="ListNumber"/>
        <w:numPr>
          <w:ilvl w:val="0"/>
          <w:numId w:val="11"/>
        </w:numPr>
      </w:pPr>
      <w:r>
        <w:t>Сформировать научно-методический оператор, совет по правам и этике, культурно-общественный совет и независимую верификацию.</w:t>
      </w:r>
    </w:p>
    <w:p>
      <w:pPr>
        <w:pStyle w:val="ListNumber"/>
        <w:numPr>
          <w:ilvl w:val="0"/>
          <w:numId w:val="11"/>
        </w:numPr>
      </w:pPr>
      <w:r>
        <w:t>Утвердить контрольные продукты 3, 6, 9 и 12 месяцев, включая право остановить пилот при пересечении красной линии.</w:t>
      </w:r>
    </w:p>
    <w:p>
      <w:pPr>
        <w:pStyle w:val="ListNumber"/>
        <w:numPr>
          <w:ilvl w:val="0"/>
          <w:numId w:val="11"/>
        </w:numPr>
      </w:pPr>
      <w:r>
        <w:t>Принимать решение о масштабировании только по результатам независимой оценки эффекта и побочных последствий.</w:t>
      </w:r>
    </w:p>
    <w:p>
      <w:pPr>
        <w:pStyle w:val="Heading2"/>
      </w:pPr>
      <w:r>
        <w:t>Критерии готовности к старту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2400"/>
        <w:gridCol w:w="6960"/>
      </w:tblGrid>
      <w:tr>
        <w:trPr>
          <w:tblHeader w:val="true"/>
          <w:cantSplit/>
        </w:trPr>
        <w:tc>
          <w:tcPr>
            <w:tcW w:type="dxa" w:w="240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Условие</w:t>
            </w:r>
          </w:p>
        </w:tc>
        <w:tc>
          <w:tcPr>
            <w:tcW w:type="dxa" w:w="696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Минимальное подтверждение</w:t>
            </w:r>
          </w:p>
        </w:tc>
      </w:tr>
      <w:tr>
        <w:trPr>
          <w:cantSplit/>
        </w:trPr>
        <w:tc>
          <w:tcPr>
            <w:tcW w:type="dxa" w:w="24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8"/>
              </w:rPr>
              <w:t>Мандат</w:t>
            </w:r>
          </w:p>
        </w:tc>
        <w:tc>
          <w:tcPr>
            <w:tcW w:type="dxa" w:w="69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8"/>
              </w:rPr>
              <w:t>есть владелец решения и формально заданные границы</w:t>
            </w:r>
          </w:p>
        </w:tc>
      </w:tr>
      <w:tr>
        <w:trPr>
          <w:cantSplit/>
        </w:trPr>
        <w:tc>
          <w:tcPr>
            <w:tcW w:type="dxa" w:w="24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8"/>
              </w:rPr>
              <w:t>Данные</w:t>
            </w:r>
          </w:p>
        </w:tc>
        <w:tc>
          <w:tcPr>
            <w:tcW w:type="dxa" w:w="696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8"/>
              </w:rPr>
              <w:t>определены минимальный набор, владельцы, качество и законность</w:t>
            </w:r>
          </w:p>
        </w:tc>
      </w:tr>
      <w:tr>
        <w:trPr>
          <w:cantSplit/>
        </w:trPr>
        <w:tc>
          <w:tcPr>
            <w:tcW w:type="dxa" w:w="24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8"/>
              </w:rPr>
              <w:t>Участие</w:t>
            </w:r>
          </w:p>
        </w:tc>
        <w:tc>
          <w:tcPr>
            <w:tcW w:type="dxa" w:w="69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8"/>
              </w:rPr>
              <w:t>есть карта заинтересованных сторон и защита от исключения</w:t>
            </w:r>
          </w:p>
        </w:tc>
      </w:tr>
      <w:tr>
        <w:trPr>
          <w:cantSplit/>
        </w:trPr>
        <w:tc>
          <w:tcPr>
            <w:tcW w:type="dxa" w:w="24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8"/>
              </w:rPr>
              <w:t>Пилот</w:t>
            </w:r>
          </w:p>
        </w:tc>
        <w:tc>
          <w:tcPr>
            <w:tcW w:type="dxa" w:w="696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8"/>
              </w:rPr>
              <w:t>решение реально, эффект измерим, риск управляем</w:t>
            </w:r>
          </w:p>
        </w:tc>
      </w:tr>
      <w:tr>
        <w:trPr>
          <w:cantSplit/>
        </w:trPr>
        <w:tc>
          <w:tcPr>
            <w:tcW w:type="dxa" w:w="24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8"/>
              </w:rPr>
              <w:t>Независимость</w:t>
            </w:r>
          </w:p>
        </w:tc>
        <w:tc>
          <w:tcPr>
            <w:tcW w:type="dxa" w:w="69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8"/>
              </w:rPr>
              <w:t>верификатор и совет по этике не подчинены исполнителю</w:t>
            </w:r>
          </w:p>
        </w:tc>
      </w:tr>
      <w:tr>
        <w:trPr>
          <w:cantSplit/>
        </w:trPr>
        <w:tc>
          <w:tcPr>
            <w:tcW w:type="dxa" w:w="24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8"/>
              </w:rPr>
              <w:t>Остановка</w:t>
            </w:r>
          </w:p>
        </w:tc>
        <w:tc>
          <w:tcPr>
            <w:tcW w:type="dxa" w:w="696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8"/>
              </w:rPr>
              <w:t>определены красные линии и процедура пересмотра</w:t>
            </w:r>
          </w:p>
        </w:tc>
      </w:tr>
    </w:tbl>
    <w:p>
      <w:pPr>
        <w:spacing w:after="0"/>
      </w:pPr>
    </w:p>
    <w:p>
      <w:pPr>
        <w:pageBreakBefore/>
        <w:spacing w:before="0" w:after="0" w:line="20" w:lineRule="exact"/>
      </w:pPr>
      <w:r>
        <w:rPr>
          <w:color w:val="FFFFFF"/>
          <w:sz w:val="2"/>
        </w:rPr>
        <w:t>​</w:t>
      </w:r>
    </w:p>
    <w:p>
      <w:pPr>
        <w:pStyle w:val="Heading1"/>
      </w:pPr>
      <w:r>
        <w:t xml:space="preserve">  Заключение</w:t>
      </w:r>
    </w:p>
    <w:p>
      <w:pPr>
        <w:pStyle w:val="Subtitle"/>
      </w:pPr>
      <w:r>
        <w:t>Баланс — это способность совместно удерживать будущее открытым</w:t>
      </w:r>
    </w:p>
    <w:p>
      <w:r>
        <w:t>Мировые балансы становятся управляемыми тогда, когда измерение возвращается к своему смыслу: помогать человеку, обществу и государству видеть последствия, согласовывать ответственность и действовать до того, как дефицит превратится в необратимый разрыв.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420"/>
        <w:gridCol w:w="7940"/>
      </w:tblGrid>
      <w:tr>
        <w:tc>
          <w:tcPr>
            <w:tcW w:type="dxa" w:w="142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</w:tcPr>
          <w:p>
            <w:pPr>
              <w:jc w:val="left"/>
            </w:pPr>
            <w:r>
              <w:rPr>
                <w:b/>
                <w:color w:val="FFFFFF"/>
                <w:sz w:val="18"/>
              </w:rPr>
              <w:t>ЧЕЛОВЕК</w:t>
            </w:r>
          </w:p>
        </w:tc>
        <w:tc>
          <w:tcPr>
            <w:tcW w:type="dxa" w:w="7940"/>
            <w:tcMar>
              <w:top w:w="90" w:type="dxa"/>
              <w:start w:w="100" w:type="dxa"/>
              <w:bottom w:w="90" w:type="dxa"/>
              <w:end w:w="100" w:type="dxa"/>
            </w:tcMar>
            <w:shd w:fill="EEF5FC"/>
          </w:tcPr>
          <w:p>
            <w:pPr>
              <w:jc w:val="left"/>
            </w:pPr>
            <w:r>
              <w:rPr>
                <w:b w:val="0"/>
                <w:color w:val="1D2733"/>
                <w:sz w:val="20"/>
              </w:rPr>
              <w:t>мера результата: расширяются ли реальные возможности жить достойно, понимать, участвовать и созидать?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420"/>
        <w:gridCol w:w="7940"/>
      </w:tblGrid>
      <w:tr>
        <w:tc>
          <w:tcPr>
            <w:tcW w:type="dxa" w:w="142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</w:tcPr>
          <w:p>
            <w:pPr>
              <w:jc w:val="left"/>
            </w:pPr>
            <w:r>
              <w:rPr>
                <w:b/>
                <w:color w:val="FFFFFF"/>
                <w:sz w:val="18"/>
              </w:rPr>
              <w:t>КУЛЬТУРА</w:t>
            </w:r>
          </w:p>
        </w:tc>
        <w:tc>
          <w:tcPr>
            <w:tcW w:type="dxa" w:w="7940"/>
            <w:tcMar>
              <w:top w:w="90" w:type="dxa"/>
              <w:start w:w="100" w:type="dxa"/>
              <w:bottom w:w="90" w:type="dxa"/>
              <w:end w:w="100" w:type="dxa"/>
            </w:tcMar>
            <w:shd w:fill="F4F6F9"/>
          </w:tcPr>
          <w:p>
            <w:pPr>
              <w:jc w:val="left"/>
            </w:pPr>
            <w:r>
              <w:rPr>
                <w:b w:val="0"/>
                <w:color w:val="1D2733"/>
                <w:sz w:val="20"/>
              </w:rPr>
              <w:t>механизм связности: воспроизводятся ли доверие, знания, память, нормы сотрудничества и способность создавать новое?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420"/>
        <w:gridCol w:w="7940"/>
      </w:tblGrid>
      <w:tr>
        <w:tc>
          <w:tcPr>
            <w:tcW w:type="dxa" w:w="142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</w:tcPr>
          <w:p>
            <w:pPr>
              <w:jc w:val="left"/>
            </w:pPr>
            <w:r>
              <w:rPr>
                <w:b/>
                <w:color w:val="FFFFFF"/>
                <w:sz w:val="18"/>
              </w:rPr>
              <w:t>БАЛАНСЫ</w:t>
            </w:r>
          </w:p>
        </w:tc>
        <w:tc>
          <w:tcPr>
            <w:tcW w:type="dxa" w:w="7940"/>
            <w:tcMar>
              <w:top w:w="90" w:type="dxa"/>
              <w:start w:w="100" w:type="dxa"/>
              <w:bottom w:w="90" w:type="dxa"/>
              <w:end w:w="100" w:type="dxa"/>
            </w:tcMar>
            <w:shd w:fill="EEF5FC"/>
          </w:tcPr>
          <w:p>
            <w:pPr>
              <w:jc w:val="left"/>
            </w:pPr>
            <w:r>
              <w:rPr>
                <w:b w:val="0"/>
                <w:color w:val="1D2733"/>
                <w:sz w:val="20"/>
              </w:rPr>
              <w:t>контур управления: удерживает ли решение безопасный коридор между потребностями, ресурсами, рисками и ответственностью?</w:t>
            </w:r>
          </w:p>
        </w:tc>
      </w:tr>
    </w:tbl>
    <w:p>
      <w:pPr>
        <w:spacing w:after="0"/>
      </w:pPr>
    </w:p>
    <w:p>
      <w:r>
        <w:t>ЭКВИЛИБРИУМ в этой логике — не рейтинг мира, а операционная система наблюдения, моделирования, обсуждения и проверки решений. Ее ценность определяется не количеством индикаторов, а тем, предотвращает ли она слепые переносы издержек и помогает ли создавать долгосрочный общественный результат.</w:t>
      </w:r>
    </w:p>
    <w:p>
      <w:pPr>
        <w:spacing w:before="360"/>
        <w:jc w:val="center"/>
      </w:pPr>
      <w:r>
        <w:rPr>
          <w:rFonts w:ascii="Calibri" w:hAnsi="Calibri" w:eastAsia="Calibri"/>
          <w:b/>
          <w:color w:val="1D3552"/>
          <w:sz w:val="28"/>
        </w:rPr>
        <w:t>Человек — субъект. Культура — связность.</w:t>
        <w:br/>
        <w:t>Баланс — ответственность в действии.</w:t>
      </w:r>
    </w:p>
    <w:p>
      <w:pPr>
        <w:pageBreakBefore/>
        <w:spacing w:before="0" w:after="0" w:line="20" w:lineRule="exact"/>
      </w:pPr>
      <w:r>
        <w:rPr>
          <w:color w:val="FFFFFF"/>
          <w:sz w:val="2"/>
        </w:rPr>
        <w:t>​</w:t>
      </w:r>
    </w:p>
    <w:p>
      <w:pPr>
        <w:pStyle w:val="Heading1"/>
      </w:pPr>
      <w:r>
        <w:t xml:space="preserve">  Источники</w:t>
      </w:r>
    </w:p>
    <w:p>
      <w:pPr>
        <w:pStyle w:val="Subtitle"/>
      </w:pPr>
      <w:r>
        <w:t>Официальные материалы, использованные для глобального контекста и методологического сопоставления</w:t>
      </w:r>
    </w:p>
    <w:p>
      <w:r>
        <w:t>Дата обращения: 27 августа 2026 года. Числа в докладе сохраняют период наблюдения, указанный первичным источником. Международные оценки могут пересматриваться по мере обновления данных и методик.</w:t>
      </w:r>
    </w:p>
    <w:p>
      <w:pPr>
        <w:pStyle w:val="ListNumber"/>
        <w:keepLines/>
        <w:numPr>
          <w:ilvl w:val="0"/>
          <w:numId w:val="12"/>
        </w:numPr>
      </w:pPr>
      <w:r>
        <w:rPr>
          <w:b/>
        </w:rPr>
        <w:t xml:space="preserve">UNESCO. Global Report on Cultural Policies. </w:t>
      </w:r>
      <w:hyperlink r:id="rId11">
        <w:r>
          <w:rPr>
            <w:color w:val="2F5E8E"/>
            <w:u w:val="single"/>
          </w:rPr>
          <w:t>https://www.unesco.org/en/culture/global-report</w:t>
        </w:r>
      </w:hyperlink>
    </w:p>
    <w:p>
      <w:pPr>
        <w:pStyle w:val="ListNumber"/>
        <w:keepLines/>
        <w:numPr>
          <w:ilvl w:val="0"/>
          <w:numId w:val="12"/>
        </w:numPr>
      </w:pPr>
      <w:r>
        <w:rPr>
          <w:b/>
        </w:rPr>
        <w:t xml:space="preserve">UNESCO. MONDIACULT 2025: culture as a priority. </w:t>
      </w:r>
      <w:hyperlink r:id="rId12">
        <w:r>
          <w:rPr>
            <w:color w:val="2F5E8E"/>
            <w:u w:val="single"/>
          </w:rPr>
          <w:t>https://www.unesco.org/en/articles/mondiacult-2025-faced-global-divisions-unesco-calls-culture-be-made-priority</w:t>
        </w:r>
      </w:hyperlink>
    </w:p>
    <w:p>
      <w:pPr>
        <w:pStyle w:val="ListNumber"/>
        <w:keepLines/>
        <w:numPr>
          <w:ilvl w:val="0"/>
          <w:numId w:val="12"/>
        </w:numPr>
      </w:pPr>
      <w:r>
        <w:rPr>
          <w:b/>
        </w:rPr>
        <w:t xml:space="preserve">UNESCO. MONDIACULT 2022: culture as a global public good. </w:t>
      </w:r>
      <w:hyperlink r:id="rId13">
        <w:r>
          <w:rPr>
            <w:color w:val="2F5E8E"/>
            <w:u w:val="single"/>
          </w:rPr>
          <w:t>https://www.unesco.org/en/articles/mondiacult-2022-states-adopt-historic-declaration-culture</w:t>
        </w:r>
      </w:hyperlink>
    </w:p>
    <w:p>
      <w:pPr>
        <w:pStyle w:val="ListNumber"/>
        <w:keepLines/>
        <w:numPr>
          <w:ilvl w:val="0"/>
          <w:numId w:val="12"/>
        </w:numPr>
      </w:pPr>
      <w:r>
        <w:rPr>
          <w:b/>
        </w:rPr>
        <w:t xml:space="preserve">UNESCO. Global targets on out-of-school children. </w:t>
      </w:r>
      <w:hyperlink r:id="rId14">
        <w:r>
          <w:rPr>
            <w:color w:val="2F5E8E"/>
            <w:u w:val="single"/>
          </w:rPr>
          <w:t>https://www.unesco.org/en/articles/countries-commit-reducing-number-out-school-children-165-million</w:t>
        </w:r>
      </w:hyperlink>
    </w:p>
    <w:p>
      <w:pPr>
        <w:pStyle w:val="ListNumber"/>
        <w:keepLines/>
        <w:numPr>
          <w:ilvl w:val="0"/>
          <w:numId w:val="12"/>
        </w:numPr>
      </w:pPr>
      <w:r>
        <w:rPr>
          <w:b/>
        </w:rPr>
        <w:t xml:space="preserve">WHO. Mental disorders — fact sheet. </w:t>
      </w:r>
      <w:hyperlink r:id="rId15">
        <w:r>
          <w:rPr>
            <w:color w:val="2F5E8E"/>
            <w:u w:val="single"/>
          </w:rPr>
          <w:t>https://www.who.int/news-room/fact-sheets/detail/mental-disorders</w:t>
        </w:r>
      </w:hyperlink>
    </w:p>
    <w:p>
      <w:pPr>
        <w:pStyle w:val="ListNumber"/>
        <w:keepLines/>
        <w:numPr>
          <w:ilvl w:val="0"/>
          <w:numId w:val="12"/>
        </w:numPr>
      </w:pPr>
      <w:r>
        <w:rPr>
          <w:b/>
        </w:rPr>
        <w:t xml:space="preserve">WHO / UNICEF. Progress on household drinking water, sanitation and hygiene. </w:t>
      </w:r>
      <w:hyperlink r:id="rId16">
        <w:r>
          <w:rPr>
            <w:color w:val="2F5E8E"/>
            <w:u w:val="single"/>
          </w:rPr>
          <w:t>https://www.who.int/news/item/26-08-2025-1-in-4-people-globally-still-lack-access-to-safe-drinking-water---who--unicef</w:t>
        </w:r>
      </w:hyperlink>
    </w:p>
    <w:p>
      <w:pPr>
        <w:pStyle w:val="ListNumber"/>
        <w:keepLines/>
        <w:numPr>
          <w:ilvl w:val="0"/>
          <w:numId w:val="12"/>
        </w:numPr>
      </w:pPr>
      <w:r>
        <w:rPr>
          <w:b/>
        </w:rPr>
        <w:t xml:space="preserve">ITU. Facts and Figures 2025. </w:t>
      </w:r>
      <w:hyperlink r:id="rId17">
        <w:r>
          <w:rPr>
            <w:color w:val="2F5E8E"/>
            <w:u w:val="single"/>
          </w:rPr>
          <w:t>https://www.itu.int/itu-d/reports/statistics/facts-figures-2025/</w:t>
        </w:r>
      </w:hyperlink>
    </w:p>
    <w:p>
      <w:pPr>
        <w:pStyle w:val="ListNumber"/>
        <w:keepLines/>
        <w:numPr>
          <w:ilvl w:val="0"/>
          <w:numId w:val="12"/>
        </w:numPr>
      </w:pPr>
      <w:r>
        <w:rPr>
          <w:b/>
        </w:rPr>
        <w:t xml:space="preserve">UNEP. Global Resources Outlook 2024. </w:t>
      </w:r>
      <w:hyperlink r:id="rId18">
        <w:r>
          <w:rPr>
            <w:color w:val="2F5E8E"/>
            <w:u w:val="single"/>
          </w:rPr>
          <w:t>https://www.unep.org/resources/Global-Resource-Outlook-2024</w:t>
        </w:r>
      </w:hyperlink>
    </w:p>
    <w:p>
      <w:pPr>
        <w:pStyle w:val="ListNumber"/>
        <w:keepLines/>
        <w:numPr>
          <w:ilvl w:val="0"/>
          <w:numId w:val="12"/>
        </w:numPr>
      </w:pPr>
      <w:r>
        <w:rPr>
          <w:b/>
        </w:rPr>
        <w:t xml:space="preserve">UNEP. Emissions Gap Report 2025. </w:t>
      </w:r>
      <w:hyperlink r:id="rId19">
        <w:r>
          <w:rPr>
            <w:color w:val="2F5E8E"/>
            <w:u w:val="single"/>
          </w:rPr>
          <w:t>https://www.unep.org/resources/emissions-gap-report-2025</w:t>
        </w:r>
      </w:hyperlink>
    </w:p>
    <w:p>
      <w:pPr>
        <w:pStyle w:val="ListNumber"/>
        <w:keepLines/>
        <w:numPr>
          <w:ilvl w:val="0"/>
          <w:numId w:val="12"/>
        </w:numPr>
      </w:pPr>
      <w:r>
        <w:rPr>
          <w:b/>
        </w:rPr>
        <w:t xml:space="preserve">UNHCR. Global Trends 2025. </w:t>
      </w:r>
      <w:hyperlink r:id="rId20">
        <w:r>
          <w:rPr>
            <w:color w:val="2F5E8E"/>
            <w:u w:val="single"/>
          </w:rPr>
          <w:t>https://www.unhcr.org/global-trends</w:t>
        </w:r>
      </w:hyperlink>
    </w:p>
    <w:p>
      <w:pPr>
        <w:pStyle w:val="ListNumber"/>
        <w:keepLines/>
        <w:numPr>
          <w:ilvl w:val="0"/>
          <w:numId w:val="12"/>
        </w:numPr>
      </w:pPr>
      <w:r>
        <w:rPr>
          <w:b/>
        </w:rPr>
        <w:t xml:space="preserve">FAO. The State of Food Security and Nutrition in the World 2026. </w:t>
      </w:r>
      <w:hyperlink r:id="rId21">
        <w:r>
          <w:rPr>
            <w:color w:val="2F5E8E"/>
            <w:u w:val="single"/>
          </w:rPr>
          <w:t>https://www.fao.org/publications/fao-flagship-publications/the-state-of-food-security-and-nutrition-in-the-world/en</w:t>
        </w:r>
      </w:hyperlink>
    </w:p>
    <w:p>
      <w:pPr>
        <w:pStyle w:val="ListNumber"/>
        <w:keepLines/>
        <w:numPr>
          <w:ilvl w:val="0"/>
          <w:numId w:val="12"/>
        </w:numPr>
      </w:pPr>
      <w:r>
        <w:rPr>
          <w:b/>
        </w:rPr>
        <w:t xml:space="preserve">UNDP. Human Development Report 2025. </w:t>
      </w:r>
      <w:hyperlink r:id="rId22">
        <w:r>
          <w:rPr>
            <w:color w:val="2F5E8E"/>
            <w:u w:val="single"/>
          </w:rPr>
          <w:t>https://hdr.undp.org/content/human-development-report-2025</w:t>
        </w:r>
      </w:hyperlink>
    </w:p>
    <w:p>
      <w:pPr>
        <w:pStyle w:val="ListNumber"/>
        <w:keepLines/>
        <w:numPr>
          <w:ilvl w:val="0"/>
          <w:numId w:val="12"/>
        </w:numPr>
      </w:pPr>
      <w:r>
        <w:rPr>
          <w:b/>
        </w:rPr>
        <w:t xml:space="preserve">UNDP. Human Development Index — methodology. </w:t>
      </w:r>
      <w:hyperlink r:id="rId23">
        <w:r>
          <w:rPr>
            <w:color w:val="2F5E8E"/>
            <w:u w:val="single"/>
          </w:rPr>
          <w:t>https://hdr.undp.org/data-center/human-development-index</w:t>
        </w:r>
      </w:hyperlink>
    </w:p>
    <w:p>
      <w:pPr>
        <w:pStyle w:val="ListNumber"/>
        <w:keepLines/>
        <w:numPr>
          <w:ilvl w:val="0"/>
          <w:numId w:val="12"/>
        </w:numPr>
      </w:pPr>
      <w:r>
        <w:rPr>
          <w:b/>
        </w:rPr>
        <w:t xml:space="preserve">UNCTAD. Creative Economy Outlook 2024. </w:t>
      </w:r>
      <w:hyperlink r:id="rId24">
        <w:r>
          <w:rPr>
            <w:color w:val="2F5E8E"/>
            <w:u w:val="single"/>
          </w:rPr>
          <w:t>https://unctad.org/publication/creative-economy-outlook-2024</w:t>
        </w:r>
      </w:hyperlink>
    </w:p>
    <w:p>
      <w:pPr>
        <w:pStyle w:val="ListNumber"/>
        <w:keepLines/>
        <w:numPr>
          <w:ilvl w:val="0"/>
          <w:numId w:val="12"/>
        </w:numPr>
      </w:pPr>
      <w:r>
        <w:rPr>
          <w:b/>
        </w:rPr>
        <w:t xml:space="preserve">UN DESA. World Population Prospects 2024. </w:t>
      </w:r>
      <w:hyperlink r:id="rId25">
        <w:r>
          <w:rPr>
            <w:color w:val="2F5E8E"/>
            <w:u w:val="single"/>
          </w:rPr>
          <w:t>https://www.un.org/development/desa/pd/world-population-prospects-2024</w:t>
        </w:r>
      </w:hyperlink>
    </w:p>
    <w:p>
      <w:pPr>
        <w:pStyle w:val="ListNumber"/>
        <w:keepLines/>
        <w:numPr>
          <w:ilvl w:val="0"/>
          <w:numId w:val="12"/>
        </w:numPr>
      </w:pPr>
      <w:r>
        <w:rPr>
          <w:b/>
        </w:rPr>
        <w:t xml:space="preserve">UN DESA. World Urbanization Prospects 2025. </w:t>
      </w:r>
      <w:hyperlink r:id="rId26">
        <w:r>
          <w:rPr>
            <w:color w:val="2F5E8E"/>
            <w:u w:val="single"/>
          </w:rPr>
          <w:t>https://www.un.org/en/desa/WUP-2025</w:t>
        </w:r>
      </w:hyperlink>
    </w:p>
    <w:p>
      <w:pPr>
        <w:pStyle w:val="ListNumber"/>
        <w:keepLines/>
        <w:numPr>
          <w:ilvl w:val="0"/>
          <w:numId w:val="12"/>
        </w:numPr>
      </w:pPr>
      <w:r>
        <w:rPr>
          <w:b/>
        </w:rPr>
        <w:t xml:space="preserve">ILO. Global Employment Trends for Youth 2024. </w:t>
      </w:r>
      <w:hyperlink r:id="rId27">
        <w:r>
          <w:rPr>
            <w:color w:val="2F5E8E"/>
            <w:u w:val="single"/>
          </w:rPr>
          <w:t>https://researchrepository.ilo.org/view/pdfCoverPage?download=true&amp;filePid=13130447130002676&amp;instCode=41ILO_INST</w:t>
        </w:r>
      </w:hyperlink>
    </w:p>
    <w:p>
      <w:pPr>
        <w:pageBreakBefore/>
        <w:spacing w:before="0" w:after="0" w:line="20" w:lineRule="exact"/>
      </w:pPr>
      <w:r>
        <w:rPr>
          <w:color w:val="FFFFFF"/>
          <w:sz w:val="2"/>
        </w:rPr>
        <w:t>​</w:t>
      </w:r>
    </w:p>
    <w:p>
      <w:pPr>
        <w:pStyle w:val="Heading1"/>
      </w:pPr>
      <w:r>
        <w:t>A  Приложение. Статусы утверждений</w:t>
      </w:r>
    </w:p>
    <w:p>
      <w:pPr>
        <w:pStyle w:val="Subtitle"/>
      </w:pPr>
      <w:r>
        <w:t>Минимальная дисциплина доказательности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2100"/>
        <w:gridCol w:w="3300"/>
        <w:gridCol w:w="3960"/>
      </w:tblGrid>
      <w:tr>
        <w:trPr>
          <w:tblHeader w:val="true"/>
          <w:cantSplit/>
        </w:trPr>
        <w:tc>
          <w:tcPr>
            <w:tcW w:type="dxa" w:w="210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Статус</w:t>
            </w:r>
          </w:p>
        </w:tc>
        <w:tc>
          <w:tcPr>
            <w:tcW w:type="dxa" w:w="330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Что означает</w:t>
            </w:r>
          </w:p>
        </w:tc>
        <w:tc>
          <w:tcPr>
            <w:tcW w:type="dxa" w:w="396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Что обязательно публиковать</w:t>
            </w:r>
          </w:p>
        </w:tc>
      </w:tr>
      <w:tr>
        <w:trPr>
          <w:cantSplit/>
        </w:trPr>
        <w:tc>
          <w:tcPr>
            <w:tcW w:type="dxa" w:w="21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[Д] Данные</w:t>
            </w:r>
          </w:p>
        </w:tc>
        <w:tc>
          <w:tcPr>
            <w:tcW w:type="dxa" w:w="33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непосредственно полученное или опубликованное наблюдение</w:t>
            </w:r>
          </w:p>
        </w:tc>
        <w:tc>
          <w:tcPr>
            <w:tcW w:type="dxa" w:w="39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источник, дата, единица, разрез, качество</w:t>
            </w:r>
          </w:p>
        </w:tc>
      </w:tr>
      <w:tr>
        <w:trPr>
          <w:cantSplit/>
        </w:trPr>
        <w:tc>
          <w:tcPr>
            <w:tcW w:type="dxa" w:w="21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[Р] Расчет</w:t>
            </w:r>
          </w:p>
        </w:tc>
        <w:tc>
          <w:tcPr>
            <w:tcW w:type="dxa" w:w="33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результат воспроизводимого преобразования данных</w:t>
            </w:r>
          </w:p>
        </w:tc>
        <w:tc>
          <w:tcPr>
            <w:tcW w:type="dxa" w:w="396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формула, код/версия, параметры, чувствительность</w:t>
            </w:r>
          </w:p>
        </w:tc>
      </w:tr>
      <w:tr>
        <w:trPr>
          <w:cantSplit/>
        </w:trPr>
        <w:tc>
          <w:tcPr>
            <w:tcW w:type="dxa" w:w="21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[С] Сценарий</w:t>
            </w:r>
          </w:p>
        </w:tc>
        <w:tc>
          <w:tcPr>
            <w:tcW w:type="dxa" w:w="33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условная траектория при заданных допущениях</w:t>
            </w:r>
          </w:p>
        </w:tc>
        <w:tc>
          <w:tcPr>
            <w:tcW w:type="dxa" w:w="39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набор допущений, диапазон, события пересмотра</w:t>
            </w:r>
          </w:p>
        </w:tc>
      </w:tr>
      <w:tr>
        <w:trPr>
          <w:cantSplit/>
        </w:trPr>
        <w:tc>
          <w:tcPr>
            <w:tcW w:type="dxa" w:w="21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[Э] Экспертная оценка</w:t>
            </w:r>
          </w:p>
        </w:tc>
        <w:tc>
          <w:tcPr>
            <w:tcW w:type="dxa" w:w="33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профессиональное суждение при неполных данных</w:t>
            </w:r>
          </w:p>
        </w:tc>
        <w:tc>
          <w:tcPr>
            <w:tcW w:type="dxa" w:w="396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экспертность, метод согласования, разногласия</w:t>
            </w:r>
          </w:p>
        </w:tc>
      </w:tr>
      <w:tr>
        <w:trPr>
          <w:cantSplit/>
        </w:trPr>
        <w:tc>
          <w:tcPr>
            <w:tcW w:type="dxa" w:w="21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[Н] Нормативное предложение</w:t>
            </w:r>
          </w:p>
        </w:tc>
        <w:tc>
          <w:tcPr>
            <w:tcW w:type="dxa" w:w="33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выбранная цель, порог или правило</w:t>
            </w:r>
          </w:p>
        </w:tc>
        <w:tc>
          <w:tcPr>
            <w:tcW w:type="dxa" w:w="396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кто уполномочен, ценностное основание, процедура</w:t>
            </w:r>
          </w:p>
        </w:tc>
      </w:tr>
    </w:tbl>
    <w:p>
      <w:pPr>
        <w:spacing w:after="0"/>
      </w:pPr>
    </w:p>
    <w:p>
      <w:r>
        <w:t>Одно утверждение может включать несколько статусов. Например, опубликованная численность [Д] после нормализации становится расчетом [Р], а выбранный порог — нормативным предложением [Н]. Маркировка должна относиться к конкретному шагу, а не ко всему документу.</w:t>
      </w:r>
    </w:p>
    <w:p>
      <w:pPr>
        <w:pageBreakBefore/>
        <w:spacing w:before="0" w:after="0" w:line="20" w:lineRule="exact"/>
      </w:pPr>
      <w:r>
        <w:rPr>
          <w:color w:val="FFFFFF"/>
          <w:sz w:val="2"/>
        </w:rPr>
        <w:t>​</w:t>
      </w:r>
    </w:p>
    <w:p>
      <w:pPr>
        <w:pStyle w:val="Heading1"/>
      </w:pPr>
      <w:r>
        <w:t>B  Приложение. Правила выбора индикаторов</w:t>
      </w:r>
    </w:p>
    <w:p>
      <w:pPr>
        <w:pStyle w:val="Subtitle"/>
      </w:pPr>
      <w:r>
        <w:t>Десять вопросов перед включением показателя</w:t>
      </w:r>
    </w:p>
    <w:p>
      <w:pPr>
        <w:pStyle w:val="ListNumber"/>
        <w:numPr>
          <w:ilvl w:val="0"/>
          <w:numId w:val="13"/>
        </w:numPr>
      </w:pPr>
      <w:r>
        <w:t>Связан ли показатель с результатом для человека, а не только с объемом деятельности?</w:t>
      </w:r>
    </w:p>
    <w:p>
      <w:pPr>
        <w:pStyle w:val="ListNumber"/>
        <w:numPr>
          <w:ilvl w:val="0"/>
          <w:numId w:val="13"/>
        </w:numPr>
      </w:pPr>
      <w:r>
        <w:t>Есть ли понятный механизм связи с балансом и альтернативные объяснения?</w:t>
      </w:r>
    </w:p>
    <w:p>
      <w:pPr>
        <w:pStyle w:val="ListNumber"/>
        <w:numPr>
          <w:ilvl w:val="0"/>
          <w:numId w:val="13"/>
        </w:numPr>
      </w:pPr>
      <w:r>
        <w:t>Можно ли разделить значение по территориям и значимым группам без нарушения прав?</w:t>
      </w:r>
    </w:p>
    <w:p>
      <w:pPr>
        <w:pStyle w:val="ListNumber"/>
        <w:numPr>
          <w:ilvl w:val="0"/>
          <w:numId w:val="13"/>
        </w:numPr>
      </w:pPr>
      <w:r>
        <w:t>Сопоставимы ли определения во времени и между источниками?</w:t>
      </w:r>
    </w:p>
    <w:p>
      <w:pPr>
        <w:pStyle w:val="ListNumber"/>
        <w:numPr>
          <w:ilvl w:val="0"/>
          <w:numId w:val="13"/>
        </w:numPr>
      </w:pPr>
      <w:r>
        <w:t>Какова задержка публикации и пригоден ли показатель для раннего предупреждения?</w:t>
      </w:r>
    </w:p>
    <w:p>
      <w:pPr>
        <w:pStyle w:val="ListNumber"/>
        <w:numPr>
          <w:ilvl w:val="0"/>
          <w:numId w:val="13"/>
        </w:numPr>
      </w:pPr>
      <w:r>
        <w:t>Может ли показатель быть улучшен формально без реального результата?</w:t>
      </w:r>
    </w:p>
    <w:p>
      <w:pPr>
        <w:pStyle w:val="ListNumber"/>
        <w:numPr>
          <w:ilvl w:val="0"/>
          <w:numId w:val="13"/>
        </w:numPr>
      </w:pPr>
      <w:r>
        <w:t>Какие непреднамеренные стимулы создаст его включение в контракт или рейтинг?</w:t>
      </w:r>
    </w:p>
    <w:p>
      <w:pPr>
        <w:pStyle w:val="ListNumber"/>
        <w:numPr>
          <w:ilvl w:val="0"/>
          <w:numId w:val="13"/>
        </w:numPr>
      </w:pPr>
      <w:r>
        <w:t>Есть ли критический порог, за которым средняя динамика перестает быть достаточной?</w:t>
      </w:r>
    </w:p>
    <w:p>
      <w:pPr>
        <w:pStyle w:val="ListNumber"/>
        <w:numPr>
          <w:ilvl w:val="0"/>
          <w:numId w:val="13"/>
        </w:numPr>
      </w:pPr>
      <w:r>
        <w:t>Как будет представлена неопределенность, пропуски и пересмотр данных?</w:t>
      </w:r>
    </w:p>
    <w:p>
      <w:pPr>
        <w:pStyle w:val="ListNumber"/>
        <w:numPr>
          <w:ilvl w:val="0"/>
          <w:numId w:val="13"/>
        </w:numPr>
      </w:pPr>
      <w:r>
        <w:t>Кто отвечает за источник, расчет, интерпретацию и решение?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420"/>
        <w:gridCol w:w="7940"/>
      </w:tblGrid>
      <w:tr>
        <w:tc>
          <w:tcPr>
            <w:tcW w:type="dxa" w:w="142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</w:tcPr>
          <w:p>
            <w:pPr>
              <w:jc w:val="left"/>
            </w:pPr>
            <w:r>
              <w:rPr>
                <w:b/>
                <w:color w:val="FFFFFF"/>
                <w:sz w:val="18"/>
              </w:rPr>
              <w:t>ОТБОР</w:t>
            </w:r>
          </w:p>
        </w:tc>
        <w:tc>
          <w:tcPr>
            <w:tcW w:type="dxa" w:w="7940"/>
            <w:tcMar>
              <w:top w:w="90" w:type="dxa"/>
              <w:start w:w="100" w:type="dxa"/>
              <w:bottom w:w="90" w:type="dxa"/>
              <w:end w:w="100" w:type="dxa"/>
            </w:tcMar>
            <w:shd w:fill="EEF5FC"/>
          </w:tcPr>
          <w:p>
            <w:pPr>
              <w:jc w:val="left"/>
            </w:pPr>
            <w:r>
              <w:rPr>
                <w:b w:val="0"/>
                <w:color w:val="1D2733"/>
                <w:sz w:val="20"/>
              </w:rPr>
              <w:t>Предпочтение отдается небольшому набору объяснимых и действующих индикаторов. Наличие данных само по себе не является основанием включения; отсутствие идеального показателя не оправдывает скрытую подстановку прокси.</w:t>
            </w:r>
          </w:p>
        </w:tc>
      </w:tr>
    </w:tbl>
    <w:p>
      <w:pPr>
        <w:spacing w:after="0"/>
      </w:pPr>
    </w:p>
    <w:p>
      <w:pPr>
        <w:pageBreakBefore/>
        <w:spacing w:before="0" w:after="0" w:line="20" w:lineRule="exact"/>
      </w:pPr>
      <w:r>
        <w:rPr>
          <w:color w:val="FFFFFF"/>
          <w:sz w:val="2"/>
        </w:rPr>
        <w:t>​</w:t>
      </w:r>
    </w:p>
    <w:p>
      <w:pPr>
        <w:pStyle w:val="Heading1"/>
      </w:pPr>
      <w:r>
        <w:t>C  Приложение. Сценарий установочной сессии</w:t>
      </w:r>
    </w:p>
    <w:p>
      <w:pPr>
        <w:pStyle w:val="Subtitle"/>
      </w:pPr>
      <w:r>
        <w:t>Один рабочий день для определения предмета пилота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Borders>
          <w:top w:val="single" w:sz="4" w:color="D6DCE4"/>
          <w:left w:val="single" w:sz="4" w:color="D6DCE4"/>
          <w:bottom w:val="single" w:sz="4" w:color="D6DCE4"/>
          <w:right w:val="single" w:sz="4" w:color="D6DCE4"/>
          <w:insideH w:val="single" w:sz="4" w:color="D6DCE4"/>
          <w:insideV w:val="single" w:sz="4" w:color="D6DCE4"/>
        </w:tblBorders>
      </w:tblPr>
      <w:tblGrid>
        <w:gridCol w:w="1500"/>
        <w:gridCol w:w="1800"/>
        <w:gridCol w:w="3150"/>
        <w:gridCol w:w="2910"/>
      </w:tblGrid>
      <w:tr>
        <w:trPr>
          <w:tblHeader w:val="true"/>
          <w:cantSplit/>
        </w:trPr>
        <w:tc>
          <w:tcPr>
            <w:tcW w:type="dxa" w:w="150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Время</w:t>
            </w:r>
          </w:p>
        </w:tc>
        <w:tc>
          <w:tcPr>
            <w:tcW w:type="dxa" w:w="180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Блок</w:t>
            </w:r>
          </w:p>
        </w:tc>
        <w:tc>
          <w:tcPr>
            <w:tcW w:type="dxa" w:w="315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Задача</w:t>
            </w:r>
          </w:p>
        </w:tc>
        <w:tc>
          <w:tcPr>
            <w:tcW w:type="dxa" w:w="2910"/>
            <w:tcMar>
              <w:top w:w="90" w:type="dxa"/>
              <w:start w:w="100" w:type="dxa"/>
              <w:bottom w:w="90" w:type="dxa"/>
              <w:end w:w="100" w:type="dxa"/>
            </w:tcMar>
            <w:shd w:fill="2F5E8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6"/>
              </w:rPr>
              <w:t>Результат</w:t>
            </w:r>
          </w:p>
        </w:tc>
      </w:tr>
      <w:tr>
        <w:trPr>
          <w:cantSplit/>
        </w:trPr>
        <w:tc>
          <w:tcPr>
            <w:tcW w:type="dxa" w:w="15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09:30–10:15</w:t>
            </w:r>
          </w:p>
        </w:tc>
        <w:tc>
          <w:tcPr>
            <w:tcW w:type="dxa" w:w="18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Общая рамка</w:t>
            </w:r>
          </w:p>
        </w:tc>
        <w:tc>
          <w:tcPr>
            <w:tcW w:type="dxa" w:w="31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согласовать статус, термины и красные линии</w:t>
            </w:r>
          </w:p>
        </w:tc>
        <w:tc>
          <w:tcPr>
            <w:tcW w:type="dxa" w:w="291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протокол общих и спорных положений</w:t>
            </w:r>
          </w:p>
        </w:tc>
      </w:tr>
      <w:tr>
        <w:trPr>
          <w:cantSplit/>
        </w:trPr>
        <w:tc>
          <w:tcPr>
            <w:tcW w:type="dxa" w:w="15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10:15–11:30</w:t>
            </w:r>
          </w:p>
        </w:tc>
        <w:tc>
          <w:tcPr>
            <w:tcW w:type="dxa" w:w="18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Карта решения</w:t>
            </w:r>
          </w:p>
        </w:tc>
        <w:tc>
          <w:tcPr>
            <w:tcW w:type="dxa" w:w="31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описать реальное решение, бюджет, сроки и владельца</w:t>
            </w:r>
          </w:p>
        </w:tc>
        <w:tc>
          <w:tcPr>
            <w:tcW w:type="dxa" w:w="291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паспорт управленческого кейса</w:t>
            </w:r>
          </w:p>
        </w:tc>
      </w:tr>
      <w:tr>
        <w:trPr>
          <w:cantSplit/>
        </w:trPr>
        <w:tc>
          <w:tcPr>
            <w:tcW w:type="dxa" w:w="15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11:45–13:00</w:t>
            </w:r>
          </w:p>
        </w:tc>
        <w:tc>
          <w:tcPr>
            <w:tcW w:type="dxa" w:w="18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19 балансов</w:t>
            </w:r>
          </w:p>
        </w:tc>
        <w:tc>
          <w:tcPr>
            <w:tcW w:type="dxa" w:w="31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выявить прямые и косвенные воздействия</w:t>
            </w:r>
          </w:p>
        </w:tc>
        <w:tc>
          <w:tcPr>
            <w:tcW w:type="dxa" w:w="291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черновая матрица материальности</w:t>
            </w:r>
          </w:p>
        </w:tc>
      </w:tr>
      <w:tr>
        <w:trPr>
          <w:cantSplit/>
        </w:trPr>
        <w:tc>
          <w:tcPr>
            <w:tcW w:type="dxa" w:w="15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14:00–15:15</w:t>
            </w:r>
          </w:p>
        </w:tc>
        <w:tc>
          <w:tcPr>
            <w:tcW w:type="dxa" w:w="18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Причинные цепочки</w:t>
            </w:r>
          </w:p>
        </w:tc>
        <w:tc>
          <w:tcPr>
            <w:tcW w:type="dxa" w:w="31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сформировать гипотезы, лаги и каскады</w:t>
            </w:r>
          </w:p>
        </w:tc>
        <w:tc>
          <w:tcPr>
            <w:tcW w:type="dxa" w:w="291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две–три проверяемые причинные карты</w:t>
            </w:r>
          </w:p>
        </w:tc>
      </w:tr>
      <w:tr>
        <w:trPr>
          <w:cantSplit/>
        </w:trPr>
        <w:tc>
          <w:tcPr>
            <w:tcW w:type="dxa" w:w="15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15:15–16:15</w:t>
            </w:r>
          </w:p>
        </w:tc>
        <w:tc>
          <w:tcPr>
            <w:tcW w:type="dxa" w:w="180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Данные и участие</w:t>
            </w:r>
          </w:p>
        </w:tc>
        <w:tc>
          <w:tcPr>
            <w:tcW w:type="dxa" w:w="315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определить источники, пробелы и заинтересованные стороны</w:t>
            </w:r>
          </w:p>
        </w:tc>
        <w:tc>
          <w:tcPr>
            <w:tcW w:type="dxa" w:w="2910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реестр данных и карта участия</w:t>
            </w:r>
          </w:p>
        </w:tc>
      </w:tr>
      <w:tr>
        <w:trPr>
          <w:cantSplit/>
        </w:trPr>
        <w:tc>
          <w:tcPr>
            <w:tcW w:type="dxa" w:w="15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b/>
                <w:color w:val="1D2733"/>
                <w:sz w:val="17"/>
              </w:rPr>
              <w:t>16:30–17:30</w:t>
            </w:r>
          </w:p>
        </w:tc>
        <w:tc>
          <w:tcPr>
            <w:tcW w:type="dxa" w:w="180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Пилот</w:t>
            </w:r>
          </w:p>
        </w:tc>
        <w:tc>
          <w:tcPr>
            <w:tcW w:type="dxa" w:w="315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согласовать этапы, продукты, риски и остановку</w:t>
            </w:r>
          </w:p>
        </w:tc>
        <w:tc>
          <w:tcPr>
            <w:tcW w:type="dxa" w:w="2910"/>
            <w:shd w:fill="F4F6F9"/>
            <w:vAlign w:val="top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40" w:line="252" w:lineRule="auto"/>
              <w:jc w:val="left"/>
            </w:pPr>
            <w:r>
              <w:rPr>
                <w:rFonts w:ascii="Calibri" w:hAnsi="Calibri"/>
                <w:color w:val="1D2733"/>
                <w:sz w:val="17"/>
              </w:rPr>
              <w:t>решение о подготовительной фазе</w:t>
            </w:r>
          </w:p>
        </w:tc>
      </w:tr>
    </w:tbl>
    <w:p>
      <w:pPr>
        <w:spacing w:after="0"/>
      </w:pPr>
    </w:p>
    <w:p>
      <w:r>
        <w:t>Состав участников: заказчик решения, владельцы данных, предметные эксперты, представители территории и уязвимых групп, специалист по правам и приватности, экономист/финансист, культурный медиатор и независимый модератор.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81" w:bottom="1008" w:left="1181" w:header="432" w:footer="504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Calibri"/>
        <w:color w:val="5D6A78"/>
        <w:sz w:val="16"/>
      </w:rPr>
      <w:fldChar w:fldCharType="begin"/>
      <w:instrText xml:space="preserve"> PAGE </w:instrText>
      <w:fldChar w:fldCharType="separate"/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 w:eastAsia="Calibri"/>
        <w:b/>
        <w:color w:val="5D6A78"/>
        <w:sz w:val="15"/>
      </w:rPr>
      <w:t>ЭКВИЛИБРИУМ  /  ЧЕЛОВЕК • КУЛЬТУРА • МИРОВЫЕ БАЛАНСЫ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Rule="auto" w:line="320"/>
      <w:jc w:val="both"/>
    </w:pPr>
    <w:rPr>
      <w:rFonts w:ascii="Calibri" w:hAnsi="Calibri" w:eastAsia="Calibri"/>
      <w:color w:val="1D27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200"/>
      <w:outlineLvl w:val="0"/>
    </w:pPr>
    <w:rPr>
      <w:rFonts w:asciiTheme="majorHAnsi" w:eastAsiaTheme="majorEastAsia" w:hAnsiTheme="majorHAnsi" w:cstheme="majorBidi" w:ascii="Calibri" w:hAnsi="Calibri" w:eastAsia="Calibri"/>
      <w:b/>
      <w:bCs/>
      <w:color w:val="2F5E8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100"/>
      <w:outlineLvl w:val="1"/>
    </w:pPr>
    <w:rPr>
      <w:rFonts w:asciiTheme="majorHAnsi" w:eastAsiaTheme="majorEastAsia" w:hAnsiTheme="majorHAnsi" w:cstheme="majorBidi" w:ascii="Calibri" w:hAnsi="Calibri" w:eastAsia="Calibri"/>
      <w:b/>
      <w:bCs/>
      <w:color w:val="2F5E8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 w:eastAsia="Calibri"/>
      <w:b/>
      <w:bCs/>
      <w:color w:val="1D3552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240"/>
    </w:pPr>
    <w:rPr>
      <w:rFonts w:asciiTheme="majorHAnsi" w:eastAsiaTheme="majorEastAsia" w:hAnsiTheme="majorHAnsi" w:cstheme="majorBidi" w:ascii="Calibri" w:hAnsi="Calibri" w:eastAsia="Calibri"/>
      <w:i w:val="0"/>
      <w:iCs/>
      <w:color w:val="5D6A78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76" w:lineRule="auto"/>
      <w:contextualSpacing/>
      <w:jc w:val="left"/>
    </w:pPr>
    <w:rPr>
      <w:rFonts w:ascii="Calibri" w:hAnsi="Calibri" w:eastAsia="Calibri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spacing w:after="60" w:line="276" w:lineRule="auto"/>
      <w:contextualSpacing/>
      <w:jc w:val="left"/>
    </w:pPr>
    <w:rPr>
      <w:rFonts w:ascii="Calibri" w:hAnsi="Calibri" w:eastAsia="Calibri"/>
      <w:sz w:val="21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 w:line="276" w:lineRule="auto"/>
      <w:contextualSpacing/>
      <w:jc w:val="left"/>
    </w:pPr>
    <w:rPr>
      <w:rFonts w:ascii="Calibri" w:hAnsi="Calibri" w:eastAsia="Calibri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etric">
    <w:name w:val="Metric"/>
    <w:pPr>
      <w:spacing w:after="20"/>
    </w:pPr>
    <w:rPr>
      <w:rFonts w:ascii="Calibri" w:hAnsi="Calibri" w:eastAsia="Calibri"/>
      <w:b/>
      <w:color w:val="2F5E8E"/>
      <w:sz w:val="4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unesco.org/en/culture/global-report" TargetMode="External"/><Relationship Id="rId12" Type="http://schemas.openxmlformats.org/officeDocument/2006/relationships/hyperlink" Target="https://www.unesco.org/en/articles/mondiacult-2025-faced-global-divisions-unesco-calls-culture-be-made-priority" TargetMode="External"/><Relationship Id="rId13" Type="http://schemas.openxmlformats.org/officeDocument/2006/relationships/hyperlink" Target="https://www.unesco.org/en/articles/mondiacult-2022-states-adopt-historic-declaration-culture" TargetMode="External"/><Relationship Id="rId14" Type="http://schemas.openxmlformats.org/officeDocument/2006/relationships/hyperlink" Target="https://www.unesco.org/en/articles/countries-commit-reducing-number-out-school-children-165-million" TargetMode="External"/><Relationship Id="rId15" Type="http://schemas.openxmlformats.org/officeDocument/2006/relationships/hyperlink" Target="https://www.who.int/news-room/fact-sheets/detail/mental-disorders" TargetMode="External"/><Relationship Id="rId16" Type="http://schemas.openxmlformats.org/officeDocument/2006/relationships/hyperlink" Target="https://www.who.int/news/item/26-08-2025-1-in-4-people-globally-still-lack-access-to-safe-drinking-water---who--unicef" TargetMode="External"/><Relationship Id="rId17" Type="http://schemas.openxmlformats.org/officeDocument/2006/relationships/hyperlink" Target="https://www.itu.int/itu-d/reports/statistics/facts-figures-2025/" TargetMode="External"/><Relationship Id="rId18" Type="http://schemas.openxmlformats.org/officeDocument/2006/relationships/hyperlink" Target="https://www.unep.org/resources/Global-Resource-Outlook-2024" TargetMode="External"/><Relationship Id="rId19" Type="http://schemas.openxmlformats.org/officeDocument/2006/relationships/hyperlink" Target="https://www.unep.org/resources/emissions-gap-report-2025" TargetMode="External"/><Relationship Id="rId20" Type="http://schemas.openxmlformats.org/officeDocument/2006/relationships/hyperlink" Target="https://www.unhcr.org/global-trends" TargetMode="External"/><Relationship Id="rId21" Type="http://schemas.openxmlformats.org/officeDocument/2006/relationships/hyperlink" Target="https://www.fao.org/publications/fao-flagship-publications/the-state-of-food-security-and-nutrition-in-the-world/en" TargetMode="External"/><Relationship Id="rId22" Type="http://schemas.openxmlformats.org/officeDocument/2006/relationships/hyperlink" Target="https://hdr.undp.org/content/human-development-report-2025" TargetMode="External"/><Relationship Id="rId23" Type="http://schemas.openxmlformats.org/officeDocument/2006/relationships/hyperlink" Target="https://hdr.undp.org/data-center/human-development-index" TargetMode="External"/><Relationship Id="rId24" Type="http://schemas.openxmlformats.org/officeDocument/2006/relationships/hyperlink" Target="https://unctad.org/publication/creative-economy-outlook-2024" TargetMode="External"/><Relationship Id="rId25" Type="http://schemas.openxmlformats.org/officeDocument/2006/relationships/hyperlink" Target="https://www.un.org/development/desa/pd/world-population-prospects-2024" TargetMode="External"/><Relationship Id="rId26" Type="http://schemas.openxmlformats.org/officeDocument/2006/relationships/hyperlink" Target="https://www.un.org/en/desa/WUP-2025" TargetMode="External"/><Relationship Id="rId27" Type="http://schemas.openxmlformats.org/officeDocument/2006/relationships/hyperlink" Target="https://researchrepository.ilo.org/view/pdfCoverPage?download=true&amp;filePid=13130447130002676&amp;instCode=41ILO_IN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ns0:Properties xmlns:ns0="http://schemas.openxmlformats.org/officeDocument/2006/extended-properties" xmlns:ns1="http://schemas.openxmlformats.org/officeDocument/2006/docPropsVTypes">
  <ns0:Template>Normal.dotm</ns0:Template>
  <ns0:TotalTime>0</ns0:TotalTime>
  <ns0:Pages>33</ns0:Pages>
  <ns0:Words>5362</ns0:Words>
  <ns0:Characters>38860</ns0:Characters>
  <ns0:Application>Microsoft Macintosh Word</ns0:Application>
  <ns0:DocSecurity>0</ns0:DocSecurity>
  <ns0:Lines>0</ns0:Lines>
  <ns0:Paragraphs>953</ns0:Paragraphs>
  <ns0:ScaleCrop>false</ns0:ScaleCrop>
  <ns0:HeadingPairs>
    <ns1:vector size="2" baseType="variant">
      <ns1:variant>
        <ns1:lpstr>Title</ns1:lpstr>
      </ns1:variant>
      <ns1:variant>
        <ns1:i4>1</ns1:i4>
      </ns1:variant>
    </ns1:vector>
  </ns0:HeadingPairs>
  <ns0:TitlesOfParts>
    <ns1:vector size="1" baseType="lpstr">
      <ns1:lpstr/>
    </ns1:vector>
  </ns0:TitlesOfParts>
  <ns0:Manager/>
  <ns0:Company/>
  <ns0:LinksUpToDate>false</ns0:LinksUpToDate>
  <ns0:CharactersWithSpaces>44112</ns0:CharactersWithSpaces>
  <ns0:SharedDoc>false</ns0:SharedDoc>
  <ns0:HyperlinkBase/>
  <ns0:HyperlinksChanged>false</ns0:HyperlinksChanged>
  <ns0:AppVersion>14.0000</ns0:AppVersion>
</ns0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Человек. Культура и мировые балансы</dc:title>
  <dc:subject>Методология человекоцентричного управления устойчивостью развития</dc:subject>
  <dc:creator>ЭКВИЛИБРИУМ</dc:creator>
  <cp:keywords>человек; культура; мировые балансы; устойчивость; ЭКВИЛИБРИУМ</cp:keywords>
  <dc:description>Проект методологического доклада для апробации</dc:description>
  <cp:lastModifiedBy/>
  <cp:revision>1</cp:revision>
  <dcterms:created xsi:type="dcterms:W3CDTF">2026-08-27T00:00:00Z</dcterms:created>
  <dcterms:modified xsi:type="dcterms:W3CDTF">2026-08-27T00:00:00Z</dcterms:modified>
  <cp:category/>
</cp:coreProperties>
</file>