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after="360" w:line="300" w:lineRule="auto"/>
        <w:jc w:val="center"/>
      </w:pPr>
      <w:r>
        <w:rPr>
          <w:rFonts w:ascii="Calibri" w:hAnsi="Calibri"/>
          <w:b/>
          <w:i w:val="0"/>
          <w:color w:val="177A52"/>
          <w:sz w:val="20"/>
        </w:rPr>
        <w:t>КОНЦЕПТУАЛЬНО-ТЕХНИЧЕСКОЕ ОПИСАНИЕ</w:t>
      </w:r>
    </w:p>
    <w:p>
      <w:pPr>
        <w:keepNext w:val="0"/>
        <w:spacing w:after="160" w:line="300" w:lineRule="auto"/>
        <w:jc w:val="center"/>
      </w:pPr>
      <w:r>
        <w:rPr>
          <w:rFonts w:ascii="Calibri" w:hAnsi="Calibri"/>
          <w:b/>
          <w:i w:val="0"/>
          <w:color w:val="10211A"/>
          <w:sz w:val="56"/>
        </w:rPr>
        <w:t>БИОЦЕНОЗНАЯ</w:t>
        <w:br/>
        <w:t>ТОЧКА МОНИТОРИНГА</w:t>
      </w:r>
    </w:p>
    <w:p>
      <w:pPr>
        <w:keepNext w:val="0"/>
        <w:spacing w:after="360" w:line="300" w:lineRule="auto"/>
        <w:jc w:val="center"/>
      </w:pPr>
      <w:r>
        <w:rPr>
          <w:rFonts w:ascii="Calibri" w:hAnsi="Calibri"/>
          <w:b/>
          <w:i w:val="0"/>
          <w:color w:val="177A52"/>
          <w:sz w:val="30"/>
        </w:rPr>
        <w:t>«Цифровой орган чувств» территории</w:t>
      </w:r>
    </w:p>
    <w:p>
      <w:pPr>
        <w:spacing w:after="360"/>
        <w:jc w:val="center"/>
      </w:pPr>
      <w:r>
        <w:drawing>
          <wp:inline xmlns:a="http://schemas.openxmlformats.org/drawingml/2006/main" xmlns:pic="http://schemas.openxmlformats.org/drawingml/2006/picture">
            <wp:extent cx="5715000" cy="3212978"/>
            <wp:docPr id="1" name="Picture 1" descr="Лесная и речная экосистема с автономной биоценозной точкой мониторинга воздуха, воды и почв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ecaac60e-d4da-4a82-8a1d-35380684d0b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29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600" w:line="300" w:lineRule="auto"/>
        <w:jc w:val="center"/>
      </w:pPr>
      <w:r>
        <w:rPr>
          <w:rFonts w:ascii="Calibri" w:hAnsi="Calibri"/>
          <w:b w:val="0"/>
          <w:i/>
          <w:color w:val="53645C"/>
          <w:sz w:val="22"/>
        </w:rPr>
        <w:t>Автономный природно-технический комплекс наблюдения, раннего предупреждения и подтверждения экологического результата</w:t>
      </w:r>
    </w:p>
    <w:p>
      <w:pPr>
        <w:keepNext w:val="0"/>
        <w:spacing w:after="40" w:line="300" w:lineRule="auto"/>
        <w:jc w:val="center"/>
      </w:pPr>
      <w:r>
        <w:rPr>
          <w:rFonts w:ascii="Calibri" w:hAnsi="Calibri"/>
          <w:b/>
          <w:i w:val="0"/>
          <w:color w:val="177A52"/>
          <w:sz w:val="18"/>
        </w:rPr>
        <w:t>ЭКВИЛИБРИУМ  ·  СФЕРА  ·  ECO‑PPA  ·  СПЕЦЗАЩИТА</w:t>
      </w:r>
    </w:p>
    <w:p>
      <w:pPr>
        <w:keepNext w:val="0"/>
        <w:spacing w:after="120" w:line="300" w:lineRule="auto"/>
        <w:jc w:val="center"/>
      </w:pPr>
      <w:r>
        <w:rPr>
          <w:rFonts w:ascii="Calibri" w:hAnsi="Calibri"/>
          <w:b w:val="0"/>
          <w:i w:val="0"/>
          <w:color w:val="53645C"/>
          <w:sz w:val="18"/>
        </w:rPr>
        <w:t>Версия 1.0  ·  20 августа 2026 года</w:t>
      </w:r>
    </w:p>
    <w:p>
      <w:r>
        <w:br w:type="page"/>
      </w:r>
    </w:p>
    <w:p>
      <w:pPr>
        <w:pStyle w:val="Heading1"/>
      </w:pPr>
      <w:r>
        <w:t>1. Определение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Биоценозная точка мониторинга — это автономный природно-технический комплекс, который непрерывно наблюдает не только за отдельными параметрами воздуха, воды или почвы, а за состоянием локальной экосистемы как единого живого организма.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Она объединяет экологические датчики, биологические наблюдения, фото- и акустическую фиксацию, связь с цифровой платформой ЭКВИЛИБРИУМ и механизмы раннего предупреждения.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2ED"/>
            <w:tcMar>
              <w:top w:w="150" w:type="dxa"/>
              <w:start w:w="220" w:type="dxa"/>
              <w:bottom w:w="150" w:type="dxa"/>
              <w:end w:w="22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color w:val="177A52"/>
                <w:sz w:val="18"/>
              </w:rPr>
              <w:t xml:space="preserve">КЛЮЧЕВОЙ ОБРАЗ  </w:t>
            </w:r>
            <w:r>
              <w:rPr>
                <w:rFonts w:ascii="Calibri" w:hAnsi="Calibri"/>
                <w:b/>
                <w:color w:val="10211A"/>
                <w:sz w:val="22"/>
              </w:rPr>
              <w:t>Биоценозная точка — это «цифровой орган чувств» территории: она видит, слышит и измеряет состояние живой природы, распознаёт угрозы, запускает реагирование и подтверждает восстановление экологического равновесия.</w:t>
            </w:r>
          </w:p>
        </w:tc>
      </w:tr>
    </w:tbl>
    <w:p>
      <w:pPr>
        <w:spacing w:after="20"/>
      </w:pPr>
    </w:p>
    <w:p>
      <w:pPr>
        <w:pStyle w:val="Heading1"/>
      </w:pPr>
      <w:r>
        <w:t>2. Назначение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Точка должна отвечать на пять основных вопросов:</w:t>
      </w:r>
    </w:p>
    <w:p>
      <w:pPr>
        <w:spacing w:after="80" w:line="300" w:lineRule="auto"/>
        <w:ind w:left="540" w:hanging="271"/>
        <w:numPr>
          <w:ilvl w:val="0"/>
          <w:numId w:val="10"/>
        </w:numPr>
      </w:pPr>
      <w:r>
        <w:rPr>
          <w:rFonts w:ascii="Calibri" w:hAnsi="Calibri"/>
          <w:color w:val="10211A"/>
          <w:sz w:val="22"/>
        </w:rPr>
        <w:t>Что происходит с экосистемой?</w:t>
      </w:r>
    </w:p>
    <w:p>
      <w:pPr>
        <w:spacing w:after="80" w:line="300" w:lineRule="auto"/>
        <w:ind w:left="540" w:hanging="271"/>
        <w:numPr>
          <w:ilvl w:val="0"/>
          <w:numId w:val="10"/>
        </w:numPr>
      </w:pPr>
      <w:r>
        <w:rPr>
          <w:rFonts w:ascii="Calibri" w:hAnsi="Calibri"/>
          <w:color w:val="10211A"/>
          <w:sz w:val="22"/>
        </w:rPr>
        <w:t>Какие изменения являются естественными, а какие — опасными?</w:t>
      </w:r>
    </w:p>
    <w:p>
      <w:pPr>
        <w:spacing w:after="80" w:line="300" w:lineRule="auto"/>
        <w:ind w:left="540" w:hanging="271"/>
        <w:numPr>
          <w:ilvl w:val="0"/>
          <w:numId w:val="10"/>
        </w:numPr>
      </w:pPr>
      <w:r>
        <w:rPr>
          <w:rFonts w:ascii="Calibri" w:hAnsi="Calibri"/>
          <w:color w:val="10211A"/>
          <w:sz w:val="22"/>
        </w:rPr>
        <w:t>Где находится вероятный источник воздействия?</w:t>
      </w:r>
    </w:p>
    <w:p>
      <w:pPr>
        <w:spacing w:after="80" w:line="300" w:lineRule="auto"/>
        <w:ind w:left="540" w:hanging="271"/>
        <w:numPr>
          <w:ilvl w:val="0"/>
          <w:numId w:val="10"/>
        </w:numPr>
      </w:pPr>
      <w:r>
        <w:rPr>
          <w:rFonts w:ascii="Calibri" w:hAnsi="Calibri"/>
          <w:color w:val="10211A"/>
          <w:sz w:val="22"/>
        </w:rPr>
        <w:t>Как изменение одного элемента влияет на весь биоценоз?</w:t>
      </w:r>
    </w:p>
    <w:p>
      <w:pPr>
        <w:spacing w:after="80" w:line="300" w:lineRule="auto"/>
        <w:ind w:left="540" w:hanging="271"/>
        <w:numPr>
          <w:ilvl w:val="0"/>
          <w:numId w:val="10"/>
        </w:numPr>
      </w:pPr>
      <w:r>
        <w:rPr>
          <w:rFonts w:ascii="Calibri" w:hAnsi="Calibri"/>
          <w:color w:val="10211A"/>
          <w:sz w:val="22"/>
        </w:rPr>
        <w:t>Какие действия необходимы для восстановления природного равновесия?</w:t>
      </w:r>
    </w:p>
    <w:p>
      <w:pPr>
        <w:keepNext w:val="0"/>
        <w:spacing w:after="60" w:line="300" w:lineRule="auto"/>
      </w:pPr>
      <w:r>
        <w:rPr>
          <w:rFonts w:ascii="Calibri" w:hAnsi="Calibri"/>
          <w:b/>
          <w:i w:val="0"/>
          <w:color w:val="177A52"/>
          <w:sz w:val="22"/>
        </w:rPr>
        <w:t>Объектом наблюдения является весь локальный биоценоз:</w:t>
      </w:r>
    </w:p>
    <w:p>
      <w:pPr>
        <w:keepNext w:val="0"/>
        <w:spacing w:after="200" w:line="300" w:lineRule="auto"/>
        <w:jc w:val="center"/>
      </w:pPr>
      <w:r>
        <w:rPr>
          <w:rFonts w:ascii="Calibri" w:hAnsi="Calibri"/>
          <w:b/>
          <w:i w:val="0"/>
          <w:color w:val="10211A"/>
          <w:sz w:val="24"/>
        </w:rPr>
        <w:t>атмосфера → вода → почва → растения → животные → микроорганизмы → человек → техногенная нагрузка</w:t>
      </w:r>
    </w:p>
    <w:p>
      <w:pPr>
        <w:pStyle w:val="Heading1"/>
      </w:pPr>
      <w:r>
        <w:t>3. Состав биоценозной точки</w:t>
      </w:r>
    </w:p>
    <w:p>
      <w:pPr>
        <w:pStyle w:val="Heading2"/>
      </w:pPr>
      <w:r>
        <w:t>3.1. Атмосферный модуль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Контролирует: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температуру и влажность;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атмосферное давление;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скорость и направление ветра;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количество осадков;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солнечную радиацию;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PM₁, PM₂.₅ и PM₁₀;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CO, CO₂, NO₂, SO₂, O₃;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метан, аммиак, сероводород;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летучие органические соединения;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дым, пыльцу и аэрозольные частицы.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/>
          <w:color w:val="53645C"/>
          <w:sz w:val="22"/>
        </w:rPr>
        <w:t>Модуль позволяет обнаруживать загрязнение, определять направление его распространения и устанавливать связь между выбросами и состоянием растений, животных и человека.</w:t>
      </w:r>
    </w:p>
    <w:p>
      <w:pPr>
        <w:pStyle w:val="Heading2"/>
      </w:pPr>
      <w:r>
        <w:t>3.2. Почвенный модуль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Включает датчики, размещённые на нескольких глубинах: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температуры;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влажности;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pH;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электропроводности;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засолённости;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окислительно-восстановительного потенциала;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содержания кислорода и CO₂;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уровня грунтовых вод.</w:t>
      </w:r>
    </w:p>
    <w:p>
      <w:pPr>
        <w:keepNext/>
        <w:spacing w:after="60" w:line="300" w:lineRule="auto"/>
      </w:pPr>
      <w:r>
        <w:rPr>
          <w:rFonts w:ascii="Calibri" w:hAnsi="Calibri"/>
          <w:b/>
          <w:i w:val="0"/>
          <w:color w:val="177A52"/>
          <w:sz w:val="22"/>
        </w:rPr>
        <w:t>Периодически проводится лабораторный анализ: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тяжёлых металлов;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нефтепродуктов;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пестицидов;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микропластика;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органического вещества;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азота, фосфора и других питательных элементов;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состава почвенной микробиоты.</w:t>
      </w:r>
    </w:p>
    <w:p>
      <w:pPr>
        <w:pStyle w:val="Heading2"/>
      </w:pPr>
      <w:r>
        <w:t>3.3. Водный модуль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Устанавливается при наличии реки, ручья, озера, болота, родника, скважины или водоёма. Измеряет: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уровень и температуру воды;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pH;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мутность;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электропроводность;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растворённый кислород;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окислительно-восстановительный потенциал;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содержание нитратов и аммония;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хлорофилл;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признаки цветения и развития цианобактерий;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наличие нефтепродуктов.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/>
          <w:color w:val="53645C"/>
          <w:sz w:val="22"/>
        </w:rPr>
        <w:t>Автоматический пробоотборник сохраняет образцы при обнаружении аномалии, чтобы результаты можно было подтвердить лабораторно.</w:t>
      </w:r>
    </w:p>
    <w:p>
      <w:pPr>
        <w:pStyle w:val="Heading2"/>
      </w:pPr>
      <w:r>
        <w:t>3.4. Фитомониторинг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Контролирует состояние растительного сообщества: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видовой состав;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плотность и площадь растительного покрова;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сроки цветения, плодоношения и листопада;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скорость роста деревьев;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состояние кроны;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влажность и температуру листьев;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содержание хлорофилла;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признаки засухи, заболеваний и поражения вредителями;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накопление загрязняющих веществ в растениях.</w:t>
      </w:r>
    </w:p>
    <w:p>
      <w:pPr>
        <w:keepNext/>
        <w:spacing w:after="60" w:line="300" w:lineRule="auto"/>
      </w:pPr>
      <w:r>
        <w:rPr>
          <w:rFonts w:ascii="Calibri" w:hAnsi="Calibri"/>
          <w:b/>
          <w:i w:val="0"/>
          <w:color w:val="177A52"/>
          <w:sz w:val="22"/>
        </w:rPr>
        <w:t>Инструменты: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фенологическая камера;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мультиспектральная камера;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дендрометры;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датчики сокодвижения;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датчики влажности листа;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периодический анализ растительных образцов.</w:t>
      </w:r>
    </w:p>
    <w:p>
      <w:pPr>
        <w:pStyle w:val="Heading2"/>
      </w:pPr>
      <w:r>
        <w:t>3.5. Мониторинг животного мира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Включает: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фотоловушки;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акустические регистраторы;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ультразвуковые детекторы летучих мышей;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автоматический учёт птиц;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регистрацию земноводных;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наблюдение за насекомыми-опылителями;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гидрофоны для водных организмов;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учёт следов, гнёзд и миграционных маршрутов.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/>
          <w:color w:val="53645C"/>
          <w:sz w:val="22"/>
        </w:rPr>
        <w:t>Искусственный интеллект предварительно распознаёт виды, оценивает их численность и выявляет изменение поведения.</w:t>
      </w:r>
    </w:p>
    <w:p>
      <w:pPr>
        <w:keepNext/>
        <w:spacing w:after="60" w:line="300" w:lineRule="auto"/>
      </w:pPr>
      <w:r>
        <w:rPr>
          <w:rFonts w:ascii="Calibri" w:hAnsi="Calibri"/>
          <w:b/>
          <w:i w:val="0"/>
          <w:color w:val="177A52"/>
          <w:sz w:val="22"/>
        </w:rPr>
        <w:t>Особенно важны индикаторные виды, быстро реагирующие на ухудшение среды: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лишайники;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мхи;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пчёлы и другие опылители;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земноводные;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донные беспозвоночные;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отдельные виды рыб и птиц.</w:t>
      </w:r>
    </w:p>
    <w:p>
      <w:pPr>
        <w:pStyle w:val="Heading2"/>
      </w:pPr>
      <w:r>
        <w:t>3.6. Микробиологический модуль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Микроорганизмы часто реагируют на загрязнение раньше крупных животных и растений. Контролируются: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состав почвенной и водной микробиоты;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микробиологическая активность почвы;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патогенные микроорганизмы;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процессы разложения органики;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появление токсичных водорослей;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экологическая ДНК — eDNA.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/>
          <w:color w:val="53645C"/>
          <w:sz w:val="22"/>
        </w:rPr>
        <w:t>Анализ eDNA позволяет обнаруживать присутствие растений, животных и микроорганизмов по генетическим следам в воде, почве и воздухе.</w:t>
      </w:r>
    </w:p>
    <w:p>
      <w:pPr>
        <w:pStyle w:val="Heading2"/>
      </w:pPr>
      <w:r>
        <w:t>3.7. Физические факторы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Точка регистрирует: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шум;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инфразвук;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вибрацию;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освещённость;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световое загрязнение;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электромагнитные поля;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радиационный фон;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локальные тепловые аномалии.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/>
          <w:color w:val="53645C"/>
          <w:sz w:val="22"/>
        </w:rPr>
        <w:t>Это позволяет учитывать дороги, промышленность, строительство и инфраструктуру как факторы воздействия на биоценоз.</w:t>
      </w:r>
    </w:p>
    <w:p>
      <w:pPr>
        <w:pStyle w:val="Heading2"/>
      </w:pPr>
      <w:r>
        <w:t>3.8. Визуальный модуль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Состоит из: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обзорной камеры;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панорамной камеры;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тепловизора;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фенологической камеры;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камеры наблюдения за небом;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при необходимости — управляемого беспилотника.</w:t>
      </w:r>
    </w:p>
    <w:p>
      <w:pPr>
        <w:keepNext/>
        <w:spacing w:after="60" w:line="300" w:lineRule="auto"/>
      </w:pPr>
      <w:r>
        <w:rPr>
          <w:rFonts w:ascii="Calibri" w:hAnsi="Calibri"/>
          <w:b/>
          <w:i w:val="0"/>
          <w:color w:val="177A52"/>
          <w:sz w:val="22"/>
        </w:rPr>
        <w:t>Компьютерное зрение выявляет: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дым и возгорания;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вырубку;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незаконные свалки;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изменение уровня воды;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деградацию растительного покрова;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появление инвазивных видов;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перемещение животных;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присутствие техники и людей.</w:t>
      </w:r>
    </w:p>
    <w:p>
      <w:pPr>
        <w:pStyle w:val="Heading1"/>
      </w:pPr>
      <w:r>
        <w:t>4. Конструкция точки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Базовая точка представляет собой модульную мачту высотой примерно 3–10 метров с антивандальным корпусом.</w:t>
      </w:r>
    </w:p>
    <w:p>
      <w:pPr>
        <w:keepNext/>
        <w:spacing w:after="60" w:line="300" w:lineRule="auto"/>
      </w:pPr>
      <w:r>
        <w:rPr>
          <w:rFonts w:ascii="Calibri" w:hAnsi="Calibri"/>
          <w:b/>
          <w:i w:val="0"/>
          <w:color w:val="177A52"/>
          <w:sz w:val="22"/>
        </w:rPr>
        <w:t>В состав входят: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метеорологический блок;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газовые и пылевые датчики;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камеры и акустические регистраторы;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наземный вычислительный контроллер;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почвенные зонды;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водный зонд при наличии водного объекта;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автоматический пробоотборник;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спутниковая навигация;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защищённая система связи;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солнечные панели;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аккумулятор;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резервный источник питания;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молниезащита;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система самодиагностики.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2ED"/>
            <w:tcMar>
              <w:top w:w="150" w:type="dxa"/>
              <w:start w:w="220" w:type="dxa"/>
              <w:bottom w:w="150" w:type="dxa"/>
              <w:end w:w="22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color w:val="177A52"/>
                <w:sz w:val="18"/>
              </w:rPr>
              <w:t xml:space="preserve">ПРИНЦИП МОДУЛЬНОСТИ  </w:t>
            </w:r>
            <w:r>
              <w:rPr>
                <w:rFonts w:ascii="Calibri" w:hAnsi="Calibri"/>
                <w:b/>
                <w:color w:val="10211A"/>
                <w:sz w:val="22"/>
              </w:rPr>
              <w:t>Оборудование подбирается под конкретный тип биоценоза. Лесная, степная, болотная, городская и водная точки имеют различную конфигурацию.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5. Режимы работы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Точка функционирует в четырёх режимах.</w:t>
      </w:r>
    </w:p>
    <w:p>
      <w:pPr>
        <w:pStyle w:val="Heading2"/>
      </w:pPr>
      <w:r>
        <w:t>5.1. Фоновый режим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Фиксирует естественные суточные, сезонные и многолетние циклы. На этом этапе формируется цифровой экологический паспорт территории.</w:t>
      </w:r>
    </w:p>
    <w:p>
      <w:pPr>
        <w:pStyle w:val="Heading2"/>
      </w:pPr>
      <w:r>
        <w:t>5.2. Режим повышенного внимания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Включается при устойчивом отклонении одного или нескольких показателей от нормального диапазона. Например: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снижение кислорода в воде;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рост концентрации пыли;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исчезновение индикаторного вида;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необычное повышение температуры почвы;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резкое сокращение акустической активности птиц.</w:t>
      </w:r>
    </w:p>
    <w:p>
      <w:pPr>
        <w:pStyle w:val="Heading2"/>
      </w:pPr>
      <w:r>
        <w:t>5.3. Аварийный режим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Запускается при пожаре, токсическом выбросе, загрязнении воды, радиационной аномалии или массовой гибели организмов. Точка: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увеличивает частоту измерений;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сохраняет первичные данные;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активирует фото- и видеофиксацию;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производит автоматический отбор пробы;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передаёт сигнал ответственным службам;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инициирует обследование мобильной лабораторией или БПЛА.</w:t>
      </w:r>
    </w:p>
    <w:p>
      <w:pPr>
        <w:pStyle w:val="Heading2"/>
      </w:pPr>
      <w:r>
        <w:t>5.4. Восстановительный режим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После устранения источника воздействия точка контролирует, возвращается ли биоценоз к исходному состоянию и достигается ли заявленный результат восстановительной программы.</w:t>
      </w:r>
    </w:p>
    <w:p>
      <w:pPr>
        <w:pStyle w:val="Heading1"/>
        <w:pageBreakBefore/>
      </w:pPr>
      <w:r>
        <w:t>6. Биоценозный индекс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Вместо разрозненных показателей точка формирует интегральный индекс состояния биоценоза. В него могут входить семь групп: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E8F2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77A52"/>
                <w:sz w:val="20"/>
              </w:rPr>
              <w:t>Блок</w:t>
            </w:r>
          </w:p>
        </w:tc>
        <w:tc>
          <w:tcPr>
            <w:tcW w:type="dxa" w:w="6660"/>
            <w:shd w:fill="E8F2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77A52"/>
                <w:sz w:val="20"/>
              </w:rPr>
              <w:t>Что оценивается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0211A"/>
                <w:sz w:val="20"/>
              </w:rPr>
              <w:t>Воздух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color w:val="10211A"/>
                <w:sz w:val="20"/>
              </w:rPr>
              <w:t>Чистота и безопасность атмосферы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0211A"/>
                <w:sz w:val="20"/>
              </w:rPr>
              <w:t>Вода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color w:val="10211A"/>
                <w:sz w:val="20"/>
              </w:rPr>
              <w:t>Физико-химическое и биологическое качество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0211A"/>
                <w:sz w:val="20"/>
              </w:rPr>
              <w:t>Почва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color w:val="10211A"/>
                <w:sz w:val="20"/>
              </w:rPr>
              <w:t>Плодородие, загрязнение и микробиологическая активность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0211A"/>
                <w:sz w:val="20"/>
              </w:rPr>
              <w:t>Растения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color w:val="10211A"/>
                <w:sz w:val="20"/>
              </w:rPr>
              <w:t>Видовое разнообразие и жизнеспособность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0211A"/>
                <w:sz w:val="20"/>
              </w:rPr>
              <w:t>Животные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color w:val="10211A"/>
                <w:sz w:val="20"/>
              </w:rPr>
              <w:t>Численность, разнообразие и поведение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0211A"/>
                <w:sz w:val="20"/>
              </w:rPr>
              <w:t>Устойчивость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color w:val="10211A"/>
                <w:sz w:val="20"/>
              </w:rPr>
              <w:t>Способность экосистемы восстанавливаться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0211A"/>
                <w:sz w:val="20"/>
              </w:rPr>
              <w:t>Давление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color w:val="10211A"/>
                <w:sz w:val="20"/>
              </w:rPr>
              <w:t>Антропогенная и техногенная нагрузка</w:t>
            </w:r>
          </w:p>
        </w:tc>
      </w:tr>
    </w:tbl>
    <w:p>
      <w:pPr>
        <w:spacing w:after="20"/>
      </w:pPr>
    </w:p>
    <w:p>
      <w:pPr>
        <w:keepNext/>
        <w:spacing w:after="60" w:line="300" w:lineRule="auto"/>
      </w:pPr>
      <w:r>
        <w:rPr>
          <w:rFonts w:ascii="Calibri" w:hAnsi="Calibri"/>
          <w:b/>
          <w:i w:val="0"/>
          <w:color w:val="177A52"/>
          <w:sz w:val="22"/>
        </w:rPr>
        <w:t>Для каждого показателя сохраняются: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текущее значение;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естественный диапазон;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скорость изменения;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сезонная норма;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уровень риска;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достоверность измерения;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предполагаемая причина;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необходимое действие.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2ED"/>
            <w:tcMar>
              <w:top w:w="150" w:type="dxa"/>
              <w:start w:w="220" w:type="dxa"/>
              <w:bottom w:w="150" w:type="dxa"/>
              <w:end w:w="22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color w:val="177A52"/>
                <w:sz w:val="18"/>
              </w:rPr>
              <w:t xml:space="preserve">ОГРАНИЧЕНИЕ ИНДЕКСА  </w:t>
            </w:r>
            <w:r>
              <w:rPr>
                <w:rFonts w:ascii="Calibri" w:hAnsi="Calibri"/>
                <w:b/>
                <w:color w:val="10211A"/>
                <w:sz w:val="22"/>
              </w:rPr>
              <w:t>Индекс не заменяет первичные измерения. Он служит навигационным показателем, а исходные данные остаются доступными для научной и юридической проверки.</w:t>
            </w:r>
          </w:p>
        </w:tc>
      </w:tr>
    </w:tbl>
    <w:p>
      <w:pPr>
        <w:spacing w:after="20"/>
      </w:pPr>
    </w:p>
    <w:p>
      <w:pPr>
        <w:pStyle w:val="Heading1"/>
      </w:pPr>
      <w:r>
        <w:t>7. Место в системе ЭКВИЛИБРИУМ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Биоценозная точка является первичным узлом наблюдения. Информационно-управленческая цепочка строится следующим образом:</w:t>
      </w:r>
    </w:p>
    <w:p>
      <w:pPr>
        <w:spacing w:after="80" w:line="300" w:lineRule="auto"/>
        <w:ind w:left="540" w:hanging="271"/>
        <w:numPr>
          <w:ilvl w:val="0"/>
          <w:numId w:val="11"/>
        </w:numPr>
      </w:pPr>
      <w:r>
        <w:rPr>
          <w:rFonts w:ascii="Calibri" w:hAnsi="Calibri"/>
          <w:color w:val="10211A"/>
          <w:sz w:val="22"/>
        </w:rPr>
        <w:t>Биоценозная точка — первичное наблюдение и фиксация.</w:t>
      </w:r>
    </w:p>
    <w:p>
      <w:pPr>
        <w:spacing w:after="80" w:line="300" w:lineRule="auto"/>
        <w:ind w:left="540" w:hanging="271"/>
        <w:numPr>
          <w:ilvl w:val="0"/>
          <w:numId w:val="11"/>
        </w:numPr>
      </w:pPr>
      <w:r>
        <w:rPr>
          <w:rFonts w:ascii="Calibri" w:hAnsi="Calibri"/>
          <w:color w:val="10211A"/>
          <w:sz w:val="22"/>
        </w:rPr>
        <w:t>ЭКВИЛИБРИУМ — сбор, сопоставление, анализ и прогнозирование.</w:t>
      </w:r>
    </w:p>
    <w:p>
      <w:pPr>
        <w:spacing w:after="80" w:line="300" w:lineRule="auto"/>
        <w:ind w:left="540" w:hanging="271"/>
        <w:numPr>
          <w:ilvl w:val="0"/>
          <w:numId w:val="11"/>
        </w:numPr>
      </w:pPr>
      <w:r>
        <w:rPr>
          <w:rFonts w:ascii="Calibri" w:hAnsi="Calibri"/>
          <w:color w:val="10211A"/>
          <w:sz w:val="22"/>
        </w:rPr>
        <w:t>Цифровой двойник территории — пространственно-временная модель состояния.</w:t>
      </w:r>
    </w:p>
    <w:p>
      <w:pPr>
        <w:spacing w:after="80" w:line="300" w:lineRule="auto"/>
        <w:ind w:left="540" w:hanging="271"/>
        <w:numPr>
          <w:ilvl w:val="0"/>
          <w:numId w:val="11"/>
        </w:numPr>
      </w:pPr>
      <w:r>
        <w:rPr>
          <w:rFonts w:ascii="Calibri" w:hAnsi="Calibri"/>
          <w:color w:val="10211A"/>
          <w:sz w:val="22"/>
        </w:rPr>
        <w:t>Раннее предупреждение — выявление угрозы и формирование сигнала.</w:t>
      </w:r>
    </w:p>
    <w:p>
      <w:pPr>
        <w:spacing w:after="80" w:line="300" w:lineRule="auto"/>
        <w:ind w:left="540" w:hanging="271"/>
        <w:numPr>
          <w:ilvl w:val="0"/>
          <w:numId w:val="11"/>
        </w:numPr>
      </w:pPr>
      <w:r>
        <w:rPr>
          <w:rFonts w:ascii="Calibri" w:hAnsi="Calibri"/>
          <w:color w:val="10211A"/>
          <w:sz w:val="22"/>
        </w:rPr>
        <w:t>ECO‑PPA — программа предупреждения, реагирования или восстановления.</w:t>
      </w:r>
    </w:p>
    <w:p>
      <w:pPr>
        <w:spacing w:after="80" w:line="300" w:lineRule="auto"/>
        <w:ind w:left="540" w:hanging="271"/>
        <w:numPr>
          <w:ilvl w:val="0"/>
          <w:numId w:val="11"/>
        </w:numPr>
      </w:pPr>
      <w:r>
        <w:rPr>
          <w:rFonts w:ascii="Calibri" w:hAnsi="Calibri"/>
          <w:color w:val="10211A"/>
          <w:sz w:val="22"/>
        </w:rPr>
        <w:t>СПЕЦЗАЩИТА — организация практического исполнения.</w:t>
      </w:r>
    </w:p>
    <w:p>
      <w:pPr>
        <w:spacing w:after="80" w:line="300" w:lineRule="auto"/>
        <w:ind w:left="540" w:hanging="271"/>
        <w:numPr>
          <w:ilvl w:val="0"/>
          <w:numId w:val="11"/>
        </w:numPr>
      </w:pPr>
      <w:r>
        <w:rPr>
          <w:rFonts w:ascii="Calibri" w:hAnsi="Calibri"/>
          <w:color w:val="10211A"/>
          <w:sz w:val="22"/>
        </w:rPr>
        <w:t>Оценка результата — подтверждение изменения и восстановления биоценоза.</w:t>
      </w:r>
    </w:p>
    <w:p>
      <w:pPr>
        <w:keepNext/>
        <w:spacing w:after="60" w:line="300" w:lineRule="auto"/>
      </w:pPr>
      <w:r>
        <w:rPr>
          <w:rFonts w:ascii="Calibri" w:hAnsi="Calibri"/>
          <w:b/>
          <w:i w:val="0"/>
          <w:color w:val="177A52"/>
          <w:sz w:val="22"/>
        </w:rPr>
        <w:t>Роли участников: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ЭКВИЛИБРИУМ наблюдает, сопоставляет данные и прогнозирует изменения.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СФЕРА собирает инициативы, научные решения и участников.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ECO‑PPA определяет программу предупреждения или восстановления.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СПЕЦЗАЩИТА организует практическое исполнение.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Биоценозная точка подтверждает исходное состояние, факт воздействия и достигнутый результат.</w:t>
      </w:r>
    </w:p>
    <w:p>
      <w:pPr>
        <w:pStyle w:val="Heading1"/>
      </w:pPr>
      <w:r>
        <w:t>8. Уровни комплектации</w:t>
      </w:r>
    </w:p>
    <w:p>
      <w:pPr>
        <w:pStyle w:val="Heading2"/>
      </w:pPr>
      <w:r>
        <w:t>8.1. Базовая точка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метеостанция;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PM₂.₅ и PM₁₀;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CO₂;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шум;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радиационный фон;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камера;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почвенная влажность и температура.</w:t>
      </w:r>
    </w:p>
    <w:p>
      <w:pPr>
        <w:keepNext w:val="0"/>
        <w:spacing w:after="120" w:line="300" w:lineRule="auto"/>
      </w:pPr>
      <w:r>
        <w:rPr>
          <w:rFonts w:ascii="Calibri" w:hAnsi="Calibri"/>
          <w:b/>
          <w:i w:val="0"/>
          <w:color w:val="177A52"/>
          <w:sz w:val="22"/>
        </w:rPr>
        <w:t>Подходит для массового развёртывания.</w:t>
      </w:r>
    </w:p>
    <w:p>
      <w:pPr>
        <w:pStyle w:val="Heading2"/>
      </w:pPr>
      <w:r>
        <w:t>8.2. Расширенная точка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Дополнительно включает: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полный газовый анализ;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почвенный профиль;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водный мультизонд;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фотоловушки;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биоакустика;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тепловизор;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автоматический пробоотбор.</w:t>
      </w:r>
    </w:p>
    <w:p>
      <w:pPr>
        <w:keepNext w:val="0"/>
        <w:pageBreakBefore/>
        <w:spacing w:after="120" w:line="300" w:lineRule="auto"/>
      </w:pPr>
      <w:r>
        <w:rPr>
          <w:rFonts w:ascii="Calibri" w:hAnsi="Calibri"/>
          <w:b/>
          <w:i w:val="0"/>
          <w:color w:val="177A52"/>
          <w:sz w:val="22"/>
        </w:rPr>
        <w:t>Подходит для лесов, водоёмов, сельскохозяйственных территорий и санитарно-защитных зон.</w:t>
      </w:r>
    </w:p>
    <w:p>
      <w:pPr>
        <w:pStyle w:val="Heading2"/>
      </w:pPr>
      <w:r>
        <w:t>8.3. Референсная биоценозная станция</w:t>
      </w: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Дополнительно включает: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эталонные анализаторы;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лабораторный модуль;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eDNA;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спектрометрию;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автоматизированную микроскопию;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БПЛА;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спутниковую верификацию;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color w:val="10211A"/>
          <w:sz w:val="22"/>
        </w:rPr>
        <w:t>постоянное научное сопровождение.</w:t>
      </w:r>
    </w:p>
    <w:p>
      <w:pPr>
        <w:keepNext w:val="0"/>
        <w:spacing w:after="120" w:line="300" w:lineRule="auto"/>
      </w:pPr>
      <w:r>
        <w:rPr>
          <w:rFonts w:ascii="Calibri" w:hAnsi="Calibri"/>
          <w:b/>
          <w:i w:val="0"/>
          <w:color w:val="177A52"/>
          <w:sz w:val="22"/>
        </w:rPr>
        <w:t>Референсная станция выступает опорным центром для сети более простых точек.</w:t>
      </w:r>
    </w:p>
    <w:p>
      <w:pPr>
        <w:pStyle w:val="Heading1"/>
      </w:pPr>
      <w:r>
        <w:t>9. Итоговая модель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2ED"/>
            <w:tcMar>
              <w:top w:w="150" w:type="dxa"/>
              <w:start w:w="220" w:type="dxa"/>
              <w:bottom w:w="150" w:type="dxa"/>
              <w:end w:w="22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color w:val="177A52"/>
                <w:sz w:val="18"/>
              </w:rPr>
              <w:t xml:space="preserve">ИТОГОВОЕ ОПРЕДЕЛЕНИЕ  </w:t>
            </w:r>
            <w:r>
              <w:rPr>
                <w:rFonts w:ascii="Calibri" w:hAnsi="Calibri"/>
                <w:b/>
                <w:color w:val="10211A"/>
                <w:sz w:val="22"/>
              </w:rPr>
              <w:t>Биоценозная точка мониторинга — это «цифровой орган чувств» территории, который видит, слышит и измеряет состояние живой природы, распознаёт угрозы, запускает реагирование и подтверждает восстановление экологического равновесия.</w:t>
            </w:r>
          </w:p>
        </w:tc>
      </w:tr>
    </w:tbl>
    <w:p>
      <w:pPr>
        <w:spacing w:after="20"/>
      </w:pPr>
    </w:p>
    <w:p>
      <w:pPr>
        <w:keepNext w:val="0"/>
        <w:spacing w:after="120" w:line="300" w:lineRule="auto"/>
      </w:pPr>
      <w:r>
        <w:rPr>
          <w:rFonts w:ascii="Calibri" w:hAnsi="Calibri"/>
          <w:b w:val="0"/>
          <w:i w:val="0"/>
          <w:color w:val="10211A"/>
          <w:sz w:val="22"/>
        </w:rPr>
        <w:t>Ценность точки определяется не количеством установленных датчиков, а способностью связать измерение, биологическую интерпретацию, раннее предупреждение, управленческое действие и доказанный экологический результат в единый непрерывный цикл.</w:t>
      </w:r>
    </w:p>
    <w:p>
      <w:pPr>
        <w:keepNext w:val="0"/>
        <w:spacing w:after="320" w:line="300" w:lineRule="auto"/>
        <w:jc w:val="center"/>
      </w:pPr>
      <w:r>
        <w:rPr>
          <w:rFonts w:ascii="Calibri" w:hAnsi="Calibri"/>
          <w:b/>
          <w:i w:val="0"/>
          <w:color w:val="177A52"/>
          <w:sz w:val="24"/>
        </w:rPr>
        <w:t>Биоценозная точка → ЭКВИЛИБРИУМ → ECO‑PPA → СПЕЦЗАЩИТА → подтверждённое восстановление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3645C"/>
        <w:sz w:val="16"/>
      </w:rPr>
      <w:t xml:space="preserve">Биоценозная точка мониторинга  · 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177A52"/>
        <w:sz w:val="16"/>
      </w:rPr>
      <w:t>ЭКВИЛИБРИУМ  /  БИОЦЕНОЗНЫЙ МОНИТОРИНГ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021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77A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77A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35C4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mpactBullet">
    <w:name w:val="Compact Bullet"/>
    <w:basedOn w:val="Normal"/>
    <w:pPr>
      <w:spacing w:after="80" w:line="300" w:lineRule="auto"/>
      <w:ind w:left="540" w:hanging="271"/>
    </w:pPr>
    <w:rPr>
      <w:rFonts w:ascii="Calibri" w:hAnsi="Calibri"/>
      <w:sz w:val="22"/>
    </w:rPr>
  </w:style>
  <w:style w:type="paragraph" w:customStyle="1" w:styleId="CompactNumber">
    <w:name w:val="Compact Number"/>
    <w:basedOn w:val="Normal"/>
    <w:pPr>
      <w:spacing w:after="80" w:line="300" w:lineRule="auto"/>
      <w:ind w:left="540" w:hanging="271"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Биоценозная точка мониторинга</dc:title>
  <dc:subject>Концептуально-техническое описание</dc:subject>
  <dc:creator>Соколов Сергей Леонидович</dc:creator>
  <cp:keywords>ЭКВИЛИБРИУМ, ECO-PPA, СПЕЦЗАЩИТА, биоценоз, экологический мониторинг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