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Calibri" w:hAnsi="Calibri" w:eastAsia="Calibri"/>
          <w:b/>
          <w:color w:val="2E74B5"/>
          <w:sz w:val="20"/>
        </w:rPr>
        <w:t>НАУЧНО-ПРИКЛАДНАЯ КОНЦЕПЦИЯ</w:t>
      </w:r>
    </w:p>
    <w:p>
      <w:pPr>
        <w:spacing w:after="80"/>
        <w:jc w:val="center"/>
      </w:pPr>
      <w:r>
        <w:rPr>
          <w:rFonts w:ascii="Calibri" w:hAnsi="Calibri" w:eastAsia="Calibri"/>
          <w:b/>
          <w:color w:val="0B2545"/>
          <w:sz w:val="54"/>
        </w:rPr>
        <w:t>БИОЦЕНОЗ</w:t>
        <w:br/>
        <w:t>ЗЕМЛЕПОЛЬЗОВАНИЯ</w:t>
      </w:r>
    </w:p>
    <w:p>
      <w:pPr>
        <w:spacing w:after="280"/>
        <w:jc w:val="center"/>
      </w:pPr>
      <w:r>
        <w:rPr>
          <w:rFonts w:ascii="Calibri" w:hAnsi="Calibri" w:eastAsia="Calibri"/>
          <w:b w:val="0"/>
          <w:color w:val="2E74B5"/>
          <w:sz w:val="27"/>
        </w:rPr>
        <w:t>Система диагностики, управления и восстановления живой территории</w:t>
      </w:r>
    </w:p>
    <w:p>
      <w:pPr>
        <w:spacing w:after="280"/>
        <w:jc w:val="center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 descr="Связанная территория: почва, вода, сельскохозяйственные поля, леса и поселение" title="Живая территор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1780262d-5f1e-4d05-8c5e-dc42b37967b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Calibri" w:hAnsi="Calibri" w:eastAsia="Calibri"/>
          <w:b/>
          <w:color w:val="0B2545"/>
          <w:sz w:val="24"/>
        </w:rPr>
        <w:t>ЭКВИЛИБРИУМ — ECO-PPA — СПЕЦЗАЩИТА</w:t>
      </w:r>
    </w:p>
    <w:p>
      <w:pPr>
        <w:spacing w:after="40"/>
        <w:jc w:val="center"/>
      </w:pPr>
      <w:r>
        <w:rPr>
          <w:rFonts w:ascii="Calibri" w:hAnsi="Calibri" w:eastAsia="Calibri"/>
          <w:color w:val="5D6B78"/>
          <w:sz w:val="19"/>
        </w:rPr>
        <w:t>Проект ОРИОН 22:22  |  Версия 1.0</w:t>
      </w:r>
    </w:p>
    <w:p>
      <w:pPr>
        <w:jc w:val="center"/>
      </w:pPr>
      <w:r>
        <w:rPr>
          <w:rFonts w:ascii="Calibri" w:hAnsi="Calibri" w:eastAsia="Calibri"/>
          <w:color w:val="5D6B78"/>
          <w:sz w:val="19"/>
        </w:rPr>
        <w:t>26 августа 2026 года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ГЛАВНЫЙ ТЕЗИС  </w:t>
            </w:r>
            <w:r>
              <w:rPr>
                <w:rFonts w:ascii="Calibri" w:hAnsi="Calibri" w:eastAsia="Calibri"/>
                <w:color w:val="18212B"/>
                <w:sz w:val="21"/>
              </w:rPr>
              <w:t>Земля — не только площадь, кадастровая запись и хозяйственный ресурс. Это связанная природно-хозяйственная система, в которой право и фактическое использование влияют на почву, воду, растительность, биоразнообразие, микроклимат и долгосрочную продуктивность.</w:t>
            </w:r>
          </w:p>
        </w:tc>
      </w:tr>
    </w:tbl>
    <w:p>
      <w:pPr>
        <w:spacing w:after="20"/>
      </w:pP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Концепция предлагает единый доказательный контур: кадастровый и правовой статус сохраняется как самостоятельный слой, экологическое состояние оценивается по релевантной базовой линии, а каждое мероприятие связывается с источником давления, ответственным, затратами и проверяемым результатом.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DF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B58B2A"/>
                <w:sz w:val="19"/>
              </w:rPr>
              <w:t xml:space="preserve">СТАТУС  </w:t>
            </w:r>
            <w:r>
              <w:rPr>
                <w:rFonts w:ascii="Calibri" w:hAnsi="Calibri" w:eastAsia="Calibri"/>
                <w:color w:val="18212B"/>
                <w:sz w:val="21"/>
              </w:rPr>
              <w:t>[Ф] — подтверждённый факт или норма; [Г] — проверяемая гипотеза пилота; [П] — проектное предложение, требующее согласования. В итоговой системе эти статусы должны храниться вместе с источником и уровнем уверенности.</w:t>
            </w:r>
          </w:p>
        </w:tc>
      </w:tr>
    </w:tbl>
    <w:p>
      <w:pPr>
        <w:spacing w:after="20"/>
      </w:pPr>
    </w:p>
    <w:p>
      <w:bookmarkStart w:id="100" w:name="section_1"/>
      <w:pPr>
        <w:pStyle w:val="Heading1"/>
        <w:keepNext/>
        <w:pageBreakBefore/>
      </w:pPr>
      <w:r>
        <w:rPr>
          <w:rFonts w:ascii="Calibri" w:hAnsi="Calibri" w:eastAsia="Calibri"/>
          <w:b/>
          <w:color w:val="2E74B5"/>
          <w:sz w:val="32"/>
        </w:rPr>
        <w:t>1. Резюме для принятия решения</w:t>
      </w:r>
      <w:bookmarkEnd w:id="100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«Биоценоз Землепользования» — проект системы диагностики, управления и восстановления живой территории в архитектуре ЭКВИЛИБРИУМ — ECO-PPA — СПЕЦЗАЩИТА. Его задача — превратить разрозненные кадастровые, природные, производственные и инвестиционные сведения в проверяемый цикл решений.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1.1. Что получает заказчик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цифровой паспорт территории, связывающий участок, ландшафт, водосбор и историю воздействий;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базовую линию состояния почвы, воды, растительности и местообитаний с указанием методов и неопределённости;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атлас угроз и карту приоритетов, где отдельно показаны риск и уверенность диагноза;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портфель мероприятий ECO-PPA с ответственными, ресурсами, KPI и независимой проверкой;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регламент повторного наблюдения, позволяющий доказать эффект или своевременно изменить меру.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1.2. Решение первого уровня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Рекомендуется утвердить 60-дневную предпроектную стадию: выбрать территорию и ведущую проблему, определить заказчика и научного партнёра, согласовать доступ к данным и участкам, спроектировать базовую линию, бюджет и критерии перехода к 12-месячному пилоту.</w:t>
      </w:r>
    </w:p>
    <w:p>
      <w:bookmarkStart w:id="101" w:name="section_2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2. Научный статус и рабочее определение</w:t>
      </w:r>
      <w:bookmarkEnd w:id="101"/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0EE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НАУЧНАЯ ОГОВОРКА  </w:t>
            </w:r>
            <w:r>
              <w:rPr>
                <w:rFonts w:ascii="Calibri" w:hAnsi="Calibri" w:eastAsia="Calibri"/>
                <w:color w:val="18212B"/>
                <w:sz w:val="21"/>
              </w:rPr>
              <w:t>В строгой экологии биоценоз — сообщество живых организмов. Землепользование — правовая и хозяйственная категория. Поэтому «Биоценоз Землепользования» используется как проектное зонтичное название, а научное ядро описывается через почвенный биоценоз, экосистему, ландшафт, агроценоз и социо-экологическую систему.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2.1. Рабочее определение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«Биоценоз Землепользования» — природно-хозяйственная система территории, включающая почву и почвенную биоту, воду, растительность, животных и микроорганизмы, рельеф и климатические процессы, правовой режим и фактическое использование, источники нагрузки, объекты воздействия и механизмы управления результатом.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2.2. Ключевые разграничения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Понятие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Использование в концепции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Земельный участок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юридически определённый объект с границами, правами и режимом использования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Землепользование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способ и режим использования земель человеком и организациями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Земельный покров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наблюдаемое физическое покрытие: лес, пашня, вода, застройка, открытая почва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Почвенный биоценоз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сообщество организмов, связанных с почвенной средой и её функциями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Ландшафт / водосбор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экологический контур, который часто пересекает кадастровые и административные границы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Цифровой паспорт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аналитический слой; не заменяет ЕГРН и юридически значимые процедуры</w:t>
            </w:r>
          </w:p>
        </w:tc>
      </w:tr>
    </w:tbl>
    <w:p>
      <w:pPr>
        <w:spacing w:after="40"/>
      </w:pPr>
    </w:p>
    <w:p>
      <w:bookmarkStart w:id="102" w:name="section_3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3. Проблема фрагментарного управления</w:t>
      </w:r>
      <w:bookmarkEnd w:id="102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Кадастровый учёт отвечает прежде всего на вопросы объекта и права; экологический мониторинг — на вопросы состояния среды; агрономические и производственные данные — на вопросы технологии и урожайности; инвестиционные документы — на вопросы ресурсов и окупаемости. Без общего идентификатора, времени, масштаба и методики эти сведения не образуют доказательство причины или результата.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Разрыв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Управленческое последствие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Разрыв границ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кадастровый участок не совпадает с водосбором, местообитанием или зоной переноса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Разрыв времени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разовые обследования не показывают сезонность и тренд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Разрыв методов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спутниковый признак принимается за подтверждённое состояние без наземной проверки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Разрыв решений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мероприятие не связано с исходной линией, контрольным участком и ответственным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Разрыв экономики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затраты фиксируются, но стоимость единицы подтверждённого результата не рассчитывается</w:t>
            </w:r>
          </w:p>
        </w:tc>
      </w:tr>
    </w:tbl>
    <w:p>
      <w:pPr>
        <w:spacing w:after="40"/>
      </w:pPr>
    </w:p>
    <w:p>
      <w:bookmarkStart w:id="103" w:name="section_4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4. Цель, задачи и вопросы системы</w:t>
      </w:r>
      <w:bookmarkEnd w:id="103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Стратегическая цель — обеспечить доказательное сохранение и восстановление функций земли при законном и экономически обоснованном использовании территории.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Что происходит с территорией и какова надёжность этого вывода?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Какие изменения естественны, сезонны или вызваны хозяйственной нагрузкой?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Где находится вероятный источник давления и какие альтернативные объяснения остаются?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Как затронуты почва, вода, растительность, местообитания и землепользователи?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Какое действие имеет наилучшее соотношение срочности, эффекта, стоимости и риска?</w:t>
      </w:r>
    </w:p>
    <w:p>
      <w:pPr>
        <w:numPr>
          <w:ilvl w:val="0"/>
          <w:numId w:val="11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Дал ли пакет мер измеримый результат относительно базовой линии и участка сравнения?</w:t>
      </w:r>
    </w:p>
    <w:p>
      <w:bookmarkStart w:id="104" w:name="section_5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5. Объект управления и пространственные масштабы</w:t>
      </w:r>
      <w:bookmarkEnd w:id="104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Система ведёт несколько совместимых, но не взаимозаменяемых контуров. Решение принимается на том масштабе, на котором существует процесс: право — на уровне участка, эрозионный сток — на уровне склона и водосбора, связность местообитаний — на уровне ландшафта, а политика — на уровне муниципалитета или региона.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Масштаб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Основной управленческий вопрос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Участок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права, разрешённое использование, локальные почвенные и хозяйственные данные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Поле / квартал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технологическая единица, фактический покров, локальные меры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Склон / водосбор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эрозия, сток, подтопление, перенос загрязнения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Местообитание / коридор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биоразнообразие, фрагментация, инвазивные виды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Муниципалитет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пространственное планирование, инфраструктура, баланс интересов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Регион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сопоставимые стандарты, межмуниципальные потоки и программа восстановления</w:t>
            </w:r>
          </w:p>
        </w:tc>
      </w:tr>
    </w:tbl>
    <w:p>
      <w:pPr>
        <w:spacing w:after="40"/>
      </w:pPr>
    </w:p>
    <w:p>
      <w:bookmarkStart w:id="105" w:name="section_6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6. Принципы и доказательность</w:t>
      </w:r>
      <w:bookmarkEnd w:id="105"/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релевантная базовая линия вместо универсального эталона для всех типов земель;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разделение наблюдения, диагноза, гипотезы причины и юридически значимого факта;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наземная верификация дистанционных признаков и прослеживаемость проб;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иерархия действий: предотвратить → снизить → восстановить → компенсировать остаточное воздействие;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уровень уверенности рядом с каждым риском и прогнозом;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независимая проверка значимых результатов и сохранение истории версий;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человек в контуре решения: алгоритм не устанавливает право и не заменяет полномочия органов власти.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DF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B58B2A"/>
                <w:sz w:val="19"/>
              </w:rPr>
              <w:t xml:space="preserve">ПРАВИЛО ИНТЕРПРЕТАЦИИ  </w:t>
            </w:r>
            <w:r>
              <w:rPr>
                <w:rFonts w:ascii="Calibri" w:hAnsi="Calibri" w:eastAsia="Calibri"/>
                <w:color w:val="18212B"/>
                <w:sz w:val="21"/>
              </w:rPr>
              <w:t>Высокий риск при низкой уверенности означает необходимость срочной проверки. Низкая уверенность не равна отсутствию риска. Благоприятный сводный балл не должен скрывать подтверждённое загрязнение, правовое нарушение или критическую эрозию.</w:t>
            </w:r>
          </w:p>
        </w:tc>
      </w:tr>
    </w:tbl>
    <w:p>
      <w:pPr>
        <w:spacing w:after="20"/>
      </w:pPr>
    </w:p>
    <w:p>
      <w:bookmarkStart w:id="106" w:name="section_7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7. Базовая линия и типология территории</w:t>
      </w:r>
      <w:bookmarkEnd w:id="106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Исходная линия формируется до выбора целевых экологических KPI. Территория стратифицируется по природной зоне, рельефу, почвам, увлажнению, покрову, истории использования, интенсивности нагрузки и правовому режиму. Сравнение проводится только внутри сопоставимых классов.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Блок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Обязательные сведения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Право и идентичность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кадастровый номер, категория, ВРИ, права, ограничения, зоны с особыми условиями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Природная основа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геология, рельеф, климат, почвы, водосбор, фоновые экосистемы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Покров и использование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фактический покров, культура/лес/застройка, история изменений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Нагрузки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обработка, выпас, строительство, загрязнение, водоотбор, пожары, рекреация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Рецепторы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почва, вода, местообитания, население, хозяйственные объекты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Доверие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источник, дата, метод, разрешение, погрешность, полнота и статус проверки</w:t>
            </w:r>
          </w:p>
        </w:tc>
      </w:tr>
    </w:tbl>
    <w:p>
      <w:pPr>
        <w:spacing w:after="40"/>
      </w:pPr>
    </w:p>
    <w:p>
      <w:bookmarkStart w:id="107" w:name="section_8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8. Почва и почвенный биоценоз</w:t>
      </w:r>
      <w:bookmarkEnd w:id="107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Почва оценивается как среда, обеспечивающая продуктивность, круговорот веществ, регулирование воды, хранение углерода и местообитание организмов. Набор показателей зависит от функции участка и угроз; одно измерение не описывает «здоровье почвы» полностью.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Примеры показателей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Физика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гранулометрический состав, плотность, уплотнение, агрегатная устойчивость, инфильтрация, эрозия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Химия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pH, органический углерод/вещество, питательные элементы, засоление, целевые загрязнители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Биология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микробная биомасса/дыхание, почвенная фауна, корни, функциональные индикаторы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Режим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влажность, температура, промерзание, переувлажнение, засуха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Качество данных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глубина и схема отбора, сезон, лаборатория, контрольные пробы, неопределённость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0EE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ОГРАНИЧЕНИЕ  </w:t>
            </w:r>
            <w:r>
              <w:rPr>
                <w:rFonts w:ascii="Calibri" w:hAnsi="Calibri" w:eastAsia="Calibri"/>
                <w:color w:val="18212B"/>
                <w:sz w:val="21"/>
              </w:rPr>
              <w:t>Метабаркодинг и eDNA расширяют описание биоты, но обнаружение последовательности не доказывает жизнеспособность, функцию или полезность организма. Выводы требуют контрольных проб и сочетания методов.</w:t>
            </w:r>
          </w:p>
        </w:tc>
      </w:tr>
    </w:tbl>
    <w:p>
      <w:pPr>
        <w:spacing w:after="20"/>
      </w:pPr>
    </w:p>
    <w:p>
      <w:bookmarkStart w:id="108" w:name="section_9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9. Вода, растительность и биоразнообразие</w:t>
      </w:r>
      <w:bookmarkEnd w:id="108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9.1. Гидрологический режим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Оцениваются влажность и инфильтрация, поверхностный сток, грунтовые воды, подтопление и иссушение, состояние прибрежных полос и перенос веществ по водосбору. Локальная мера проверяется на отсутствие переноса ущерба вниз по потоку.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9.2. Растительность и местообитания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Покрытие почвы, сезонная продуктивность, структура древесной и травянистой растительности, состояние агроценозов, фрагментация и связность местообитаний рассматриваются относительно типа территории. Рост числа видов сам по себе не всегда означает улучшение: важны эталон, функции и инвазивные виды.</w:t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9.3. Климатические нагрузки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Засуха, экстремальные осадки, жара, ветер, промерзание и пожароопасность включаются как внешние условия, влияющие на риск и интерпретацию результата. Один сезон не формирует многолетнюю климатическую норму.</w:t>
      </w:r>
    </w:p>
    <w:p>
      <w:bookmarkStart w:id="109" w:name="section_10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10. Право, кадастр и ограничения</w:t>
      </w:r>
      <w:bookmarkEnd w:id="109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В Российской Федерации правовой режим определяется категорией земель, разрешённым использованием и специальными ограничениями. Государственный мониторинг земель и ЕГРН имеют собственные полномочия и юридическое значение. Проектный паспорт использует эти сведения как источники и не подменяет их.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Правовой слой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Правило использования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Категория и ВРИ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допустимые цели и режим использования; проверяется по актуальным официальным сведениям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Права и обременения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собственность, аренда, сервитуты, иные ограничения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Границы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качество координат, пересечения, фактическое использование за контуром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ЗОУИТ и охрана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санитарные, водоохранные, природоохранные и иные специальные режимы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Полномочия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какой орган устанавливает факт, выдаёт предписание или принимает решение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0EE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ЮРИДИЧЕСКАЯ ОГОВОРКА  </w:t>
            </w:r>
            <w:r>
              <w:rPr>
                <w:rFonts w:ascii="Calibri" w:hAnsi="Calibri" w:eastAsia="Calibri"/>
                <w:color w:val="18212B"/>
                <w:sz w:val="21"/>
              </w:rPr>
              <w:t>Концепция не является правовым заключением. Перед официальной подачей проверяются действующие редакции Земельного кодекса РФ, профильных федеральных законов, порядков мониторинга и региональных требований.</w:t>
            </w:r>
          </w:p>
        </w:tc>
      </w:tr>
    </w:tbl>
    <w:p>
      <w:pPr>
        <w:spacing w:after="20"/>
      </w:pPr>
    </w:p>
    <w:p>
      <w:bookmarkStart w:id="110" w:name="section_11"/>
      <w:pPr>
        <w:pStyle w:val="Heading1"/>
        <w:keepNext/>
        <w:pageBreakBefore/>
      </w:pPr>
      <w:r>
        <w:rPr>
          <w:rFonts w:ascii="Calibri" w:hAnsi="Calibri" w:eastAsia="Calibri"/>
          <w:b/>
          <w:color w:val="2E74B5"/>
          <w:sz w:val="32"/>
        </w:rPr>
        <w:t>11. Атлас угроз и причинные цепочки</w:t>
      </w:r>
      <w:bookmarkEnd w:id="110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3560"/>
        <w:gridCol w:w="400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Угроза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Вероятная цепочка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Основное последствие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Эрозия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открытая почва + склон + сток/ветер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потеря верхнего горизонта, заиление вод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Уплотнение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техника, выпас, стройка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снижение инфильтрации и корнеобитаемого объёма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Потеря органического вещества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нарушение баланса поступления и минерализации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снижение структуры и устойчивости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Засоление / переувлажнение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водный режим, мелиорация, грунтовые воды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ограничение продуктивности и смена сообществ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Загрязнение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промышленность, отходы, агрохимикаты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токсическое воздействие и ограничения использования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Запечатывание почвы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застройка и покрытия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утрата функций, рост стока и перегрева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Фрагментация / инвазии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дороги, расчистка, занос видов</w:t>
            </w:r>
          </w:p>
        </w:tc>
        <w:tc>
          <w:tcPr>
            <w:tcW w:type="dxa" w:w="4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потеря связности и изменение экосистем</w:t>
            </w:r>
          </w:p>
        </w:tc>
      </w:tr>
    </w:tbl>
    <w:p>
      <w:pPr>
        <w:spacing w:after="40"/>
      </w:pP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Каждая карточка угрозы содержит наблюдаемый сигнал, альтернативные объяснения, объект воздействия, срочность, уровень уверенности, необходимую проверку и допустимые действия. Причина не считается подтверждённой только по пространственной корреляции.</w:t>
      </w:r>
    </w:p>
    <w:p>
      <w:bookmarkStart w:id="111" w:name="section_12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12. Система показателей</w:t>
      </w:r>
      <w:bookmarkEnd w:id="111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Блок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Основные показатели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Покров и использование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классы покрова; фактическое использование; изменение; доля запечатанной поверхности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Продуктивность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сезонная динамика растительности; урожайность/биомасса с поправкой на погоду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Почвенный углерод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запас и концентрация по стандартизированной глубине; плотность и неопределённость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Физика почвы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уплотнение; инфильтрация; агрегатная устойчивость; эрозионная уязвимость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Химия почвы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pH; соли; питательные элементы; целевые загрязнители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Биология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биологическая активность; индикаторные группы; состояние местообитаний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Вода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влажность; сток; подтопление; качество воды по целевой программе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Право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соответствие категории/ВРИ; ограничения; качество границ; выявленные конфликты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Управление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время реакции; исполнение мер; результат до/после/контроль; остаточный риск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2E74B5"/>
                <w:sz w:val="19"/>
              </w:rPr>
              <w:t xml:space="preserve">МЕЖДУНАРОДНАЯ СОПОСТАВИМОСТЬ  </w:t>
            </w:r>
            <w:r>
              <w:rPr>
                <w:rFonts w:ascii="Calibri" w:hAnsi="Calibri" w:eastAsia="Calibri"/>
                <w:color w:val="18212B"/>
                <w:sz w:val="21"/>
              </w:rPr>
              <w:t>Для связи с ЦУР 15.3 и рамкой UNCCD отдельно сохраняются три ключевых субиндикатора: земельный покров, продуктивность земель и запас органического углерода почвы. Они не заменяют локальные показатели угроз и права.</w:t>
            </w:r>
          </w:p>
        </w:tc>
      </w:tr>
    </w:tbl>
    <w:p>
      <w:pPr>
        <w:spacing w:after="20"/>
      </w:pPr>
    </w:p>
    <w:p>
      <w:bookmarkStart w:id="112" w:name="section_13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13. Сеть наблюдений и контроль качества</w:t>
      </w:r>
      <w:bookmarkEnd w:id="112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Архитектура строится по принципу «обзор → стратификация → наземная проверка → лабораторное подтверждение → повторное наблюдение». Дистанционное зондирование обеспечивает покрытие, но не заменяет полевой диагноз.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Роль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Спутники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покров, сезонная динамика, влажность/температура поверхности, признаки изменений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БПЛА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локальная детализация, рельеф, эрозионные формы, покров и объекты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Полевые маршруты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описание почв, растительности, нагрузок и фотофиксация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Опорные площадки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повторные измерения и калибровка дистанционных признаков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Лаборатория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подтверждение физических, химических и биологических показателей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Кадастровые и хозяйственные данные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правовой режим, границы, операции и история использования</w:t>
            </w:r>
          </w:p>
        </w:tc>
      </w:tr>
    </w:tbl>
    <w:p>
      <w:pPr>
        <w:spacing w:after="40"/>
      </w:pP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стратифицированный дизайн отбора проб и документированная репрезентативность;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полевые дубликаты, холостые и контрольные пробы там, где они применимы;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единые единицы, координаты, время, глубина, метод и цепочка хранения;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калибровка моделей по независимой выборке и публикация матрицы ошибок;</w:t>
      </w:r>
    </w:p>
    <w:p>
      <w:pPr>
        <w:numPr>
          <w:ilvl w:val="0"/>
          <w:numId w:val="10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версионирование алгоритмов, запрет скрытого исправления исходных данных.</w:t>
      </w:r>
    </w:p>
    <w:p>
      <w:bookmarkStart w:id="113" w:name="section_14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14. Цифровой паспорт и архитектура ЭКВИЛИБРИУМ</w:t>
      </w:r>
      <w:bookmarkEnd w:id="113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Паспорт объединяет правовой идентификатор и экологический контур, но хранит их происхождение и статус раздельно. Гиперграф ЭКВИЛИБРИУМ связывает участок, наблюдение, пробу, источник, угрозу, мероприятие, исполнителя, затраты и доказательство результата.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Раздел паспорта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Идентичность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участок, хозяйственная единица, ландшафт, водосбор, версия границ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Базовая линия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почва, вода, покров, растительность, местообитания, климатические нагрузки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Наблюдение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дата, координаты, метод, источник, точность, статус QA/QC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Диагноз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угроза, предполагаемая причина, альтернативы, риск и уверенность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Действие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мера, ответственный, бюджет, сроки, разрешения и стоп-условия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Результат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до/после/контроль, эффект, остаточный риск, независимая верификация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Доступ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роли, журнал изменений, защита чувствительных и коммерческих данных</w:t>
            </w:r>
          </w:p>
        </w:tc>
      </w:tr>
    </w:tbl>
    <w:p>
      <w:pPr>
        <w:spacing w:after="40"/>
      </w:pPr>
    </w:p>
    <w:p>
      <w:bookmarkStart w:id="114" w:name="section_15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15. Диагностика и цикл управления</w:t>
      </w:r>
      <w:bookmarkEnd w:id="114"/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Инвентаризировать участок и экологический контур.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Проверить качество и сопоставимость исходных данных.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Выявить изменение и сформировать несколько причинных гипотез.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Подтвердить приоритетные зоны полем и лабораторией.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Оценить риск, срочность, уверенность и затрагиваемые интересы.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Выбрать действие по иерархии предотвращения, снижения и восстановления.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Оформить пакет ECO-PPA с ресурсами и критериями результата.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Сопоставить результат с исходной линией и участком сравнения.</w:t>
      </w:r>
    </w:p>
    <w:p>
      <w:pPr>
        <w:numPr>
          <w:ilvl w:val="0"/>
          <w:numId w:val="13"/>
        </w:numPr>
        <w:spacing w:after="80" w:line="290" w:lineRule="auto"/>
      </w:pPr>
      <w:r>
        <w:rPr>
          <w:rFonts w:ascii="Calibri" w:hAnsi="Calibri" w:eastAsia="Calibri"/>
          <w:color w:val="18212B"/>
          <w:sz w:val="22"/>
        </w:rPr>
        <w:t>Обновить паспорт, модель риска и решение о следующем цикле.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4E8B73"/>
                <w:sz w:val="19"/>
              </w:rPr>
              <w:t xml:space="preserve">ПРОВЕРЯЕМЫЕ ГИПОТЕЗЫ  </w:t>
            </w:r>
            <w:r>
              <w:rPr>
                <w:rFonts w:ascii="Calibri" w:hAnsi="Calibri" w:eastAsia="Calibri"/>
                <w:color w:val="18212B"/>
                <w:sz w:val="21"/>
              </w:rPr>
              <w:t>[Г1] единый паспорт сокращает цикл решения; [Г2] спутник + поле точнее одного источника; [Г3] меры по причинной цепочке устойчивее универсального пакета; [Г4] прослеживаемость снижает неопределённость отбора проектов ECO-PPA.</w:t>
            </w:r>
          </w:p>
        </w:tc>
      </w:tr>
    </w:tbl>
    <w:p>
      <w:pPr>
        <w:spacing w:after="20"/>
      </w:pPr>
    </w:p>
    <w:p>
      <w:bookmarkStart w:id="115" w:name="section_16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16. ECO-PPA: портфель мероприятий и экономика</w:t>
      </w:r>
      <w:bookmarkEnd w:id="115"/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ECO-PPA переводит диагноз в проект, где экологический результат связан с выгодополучателями, плательщиком, капитальными и эксплуатационными затратами, сроком, неопределённостью и способом проверки. До базового обследования не гарантируются ни эффект, ни доходность.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3900"/>
        <w:gridCol w:w="3760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Проблема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Примеры мер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Проверка результата</w:t>
            </w:r>
          </w:p>
        </w:tc>
      </w:tr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Эрозия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покровные культуры, лесополосы, контурная организация, водоотвод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покрытие, смыв/вынос, состояние водоприёмника</w:t>
            </w:r>
          </w:p>
        </w:tc>
      </w:tr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Уплотнение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ограничение проходов, контролируемый трафик, восстановление структуры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плотность, сопротивление, инфильтрация</w:t>
            </w:r>
          </w:p>
        </w:tc>
      </w:tr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Водный режим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буферные полосы, восстановление дренажа/увлажнения, удержание стока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влажность, сток, подтопление, качество воды</w:t>
            </w:r>
          </w:p>
        </w:tc>
      </w:tr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Загрязнение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локализация источника, удаление/изоляция, ремедиация по проекту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концентрации, площадь, миграция, остаточный риск</w:t>
            </w:r>
          </w:p>
        </w:tc>
      </w:tr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5"/>
              </w:rPr>
              <w:t>Местообитания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коридоры, восстановление покрова, контроль инвазий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5"/>
              </w:rPr>
              <w:t>связность, индикаторные виды, устойчивость</w:t>
            </w:r>
          </w:p>
        </w:tc>
      </w:tr>
    </w:tbl>
    <w:p>
      <w:pPr>
        <w:spacing w:after="40"/>
      </w:pPr>
    </w:p>
    <w:p>
      <w:bookmarkStart w:id="116" w:name="section_17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17. Распределение ролей</w:t>
      </w:r>
      <w:bookmarkEnd w:id="116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Участник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Ответственность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ЭКВИЛИБРИУМ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интеграция данных, паспорта, гиперграф, диагностика, сценарии и доказательства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ECO-PPA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проектирование портфеля, ресурсы, финансирование, KPI и верификация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СПЕЦЗАЩИТА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обследования, кооперация исполнителей, полевые и восстановительные работы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Органы власти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полномочия, официальные данные, координация и юридически значимые решения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Землепользователи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доступ, история операций, выполнение мер и эксплуатационная обратная связь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Научный совет и лаборатории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методики, дизайн наблюдений, качество и интерпретация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Независимый валидатор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проверка базовой линии, методов, результата и ограничений выводов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DDEFF8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2E74B5"/>
                <w:sz w:val="19"/>
              </w:rPr>
              <w:t xml:space="preserve">ПРИНЦИП УПРАВЛЕНИЯ  </w:t>
            </w:r>
            <w:r>
              <w:rPr>
                <w:rFonts w:ascii="Calibri" w:hAnsi="Calibri" w:eastAsia="Calibri"/>
                <w:color w:val="18212B"/>
                <w:sz w:val="21"/>
              </w:rPr>
              <w:t>Единая методология — распределённые данные — ответственное исполнение — независимая проверка. Полномочия государства и права собственников не переносятся цифровой модели автоматически.</w:t>
            </w:r>
          </w:p>
        </w:tc>
      </w:tr>
    </w:tbl>
    <w:p>
      <w:pPr>
        <w:spacing w:after="20"/>
      </w:pPr>
    </w:p>
    <w:p>
      <w:bookmarkStart w:id="117" w:name="section_18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18. Пилот на 12 месяцев</w:t>
      </w:r>
      <w:bookmarkEnd w:id="117"/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100"/>
        <w:gridCol w:w="2200"/>
        <w:gridCol w:w="6060"/>
      </w:tblGrid>
      <w:tr>
        <w:trPr>
          <w:tblHeader w:val="true"/>
        </w:trP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Месяцы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0–2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Предпроект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территория, проблема, заказчик, соглашения о данных, дизайн базовой линии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2–4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Инвентаризация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архивные, спутниковые, кадастровые и хозяйственные данные; стратификация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3–6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Поле и лаборатория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сезонно допустимые обследования, опорные площадки, QA/QC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5–7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Паспорта и атлас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цифровые паспорта, карта угроз, приоритеты и причинные гипотезы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7–10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Меры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2–4 типа вмешательств на участках воздействия и сравнения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10–12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Проверка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повторные наблюдения, экономика, независимый аудит и решение о продолжении</w:t>
            </w:r>
          </w:p>
        </w:tc>
      </w:tr>
      <w:tr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13–36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Долгий цикл</w:t>
            </w:r>
          </w:p>
        </w:tc>
        <w:tc>
          <w:tcPr>
            <w:tcW w:type="dxa" w:w="6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многосезонная проверка восстановления, продуктивности и углеродных эффектов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0EE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9B1C1C"/>
                <w:sz w:val="19"/>
              </w:rPr>
              <w:t xml:space="preserve">ГРАНИЦА ОБЕЩАНИЙ  </w:t>
            </w:r>
            <w:r>
              <w:rPr>
                <w:rFonts w:ascii="Calibri" w:hAnsi="Calibri" w:eastAsia="Calibri"/>
                <w:color w:val="18212B"/>
                <w:sz w:val="21"/>
              </w:rPr>
              <w:t>За 12 месяцев корректно доказать работоспособность системы, качество данных, скорость решения и изменение ведущих индикаторов. Нельзя обещать полное восстановление почв и биоразнообразия, долгосрочное накопление углерода или устойчивый рост продуктивности по одному сезону.</w:t>
            </w:r>
          </w:p>
        </w:tc>
      </w:tr>
    </w:tbl>
    <w:p>
      <w:pPr>
        <w:spacing w:after="20"/>
      </w:pPr>
    </w:p>
    <w:p>
      <w:bookmarkStart w:id="118" w:name="section_19"/>
      <w:pPr>
        <w:pStyle w:val="Heading1"/>
        <w:keepNext/>
        <w:pageBreakBefore w:val="0"/>
      </w:pPr>
      <w:r>
        <w:rPr>
          <w:rFonts w:ascii="Calibri" w:hAnsi="Calibri" w:eastAsia="Calibri"/>
          <w:b/>
          <w:color w:val="2E74B5"/>
          <w:sz w:val="32"/>
        </w:rPr>
        <w:t>19. KPI, риски и критерии масштабирования</w:t>
      </w:r>
      <w:bookmarkEnd w:id="118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19.1. Проектные KPI для обсуждения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Блок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Цель пилота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Данные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≥95% обязательных полей паспортов; ≥90% валидных наборов опорного контура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Проверка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100% критических аномалий имеют карточку проверки и решение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Границы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согласованность кадастровых и фактических контуров оценена для всей пилотной выборки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Решения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не менее трёх пакетов ECO-PPA с ответственным, бюджетом и методом верификации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Эффект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изменение ведущего показателя оценивается относительно исходной линии и участка сравнения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Безопасность</w:t>
            </w:r>
          </w:p>
        </w:tc>
        <w:tc>
          <w:tcPr>
            <w:tcW w:type="dxa" w:w="7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отсутствие подтверждённого переноса ущерба на соседнюю территорию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19.2. Основные риски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Мера управления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Смешение права и экологии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раздельные статусы данных; юридические выводы только компетентным органом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Ошибочный диагноз по снимку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наземная верификация и матрица ошибок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Сезонность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сопоставимые сроки и продолжение наблюдений 24–36 месяцев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Ложная причинность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временной ряд, участок сравнения и альтернативные гипотезы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Углеродные обещания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отдельная признанная методика и независимая верификация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Закрытые данные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ролевой доступ, агрегирование, договоры и журналирование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6"/>
              </w:rPr>
              <w:t>Конфликт интересов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6"/>
              </w:rPr>
              <w:t>разделение исполнителя и валидатора</w:t>
            </w:r>
          </w:p>
        </w:tc>
      </w:tr>
    </w:tbl>
    <w:p>
      <w:pPr>
        <w:spacing w:after="40"/>
      </w:pPr>
    </w:p>
    <w:p>
      <w:bookmarkStart w:id="119" w:name="section_20"/>
      <w:pPr>
        <w:pStyle w:val="Heading1"/>
        <w:keepNext/>
        <w:pageBreakBefore/>
      </w:pPr>
      <w:r>
        <w:rPr>
          <w:rFonts w:ascii="Calibri" w:hAnsi="Calibri" w:eastAsia="Calibri"/>
          <w:b/>
          <w:color w:val="2E74B5"/>
          <w:sz w:val="32"/>
        </w:rPr>
        <w:t>20. Дорожная карта, решение и источники</w:t>
      </w:r>
      <w:bookmarkEnd w:id="119"/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20.1. Масштабирование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Горизонт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0B2545"/>
          </w:tcPr>
          <w:p>
            <w:pPr>
              <w:spacing w:after="0" w:line="252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Контрольный результат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0–2 месяца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предпроект: территория, методика, данные, бюджет, партнёры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3–14 месяцев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12-месячный пилот и независимый аудит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15–36 месяцев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многосезонное наблюдение и сеть разнотипных пилотов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37–48 месяцев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AFC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региональный стандарт паспортов и обмена данными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/>
                <w:color w:val="18212B"/>
                <w:sz w:val="17"/>
              </w:rPr>
              <w:t>49–60 месяцев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Calibri"/>
                <w:b w:val="0"/>
                <w:color w:val="18212B"/>
                <w:sz w:val="17"/>
              </w:rPr>
              <w:t>национальная сеть и сопряжение с ГАСМП «ЭКВИЛИБРИУМ»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20.2. Решение</w:t>
      </w:r>
    </w:p>
    <w:p>
      <w:pPr>
        <w:spacing w:after="160" w:line="320" w:lineRule="auto"/>
        <w:jc w:val="both"/>
      </w:pPr>
      <w:r>
        <w:rPr>
          <w:rFonts w:ascii="Calibri" w:hAnsi="Calibri" w:eastAsia="Calibri"/>
          <w:color w:val="18212B"/>
          <w:sz w:val="22"/>
        </w:rPr>
        <w:t>Утвердить 60-дневный предпроектный этап; назначить заказчика и рабочую группу; выбрать пилотную территорию; сформировать перечень официальных и хозяйственных данных; согласовать полевой доступ; представить паспорт пилота, бюджет, план качества и критерии перехода к 12-месячной стадии.</w:t>
      </w:r>
    </w:p>
    <w:p>
      <w:r>
        <w:br w:type="page"/>
      </w:r>
    </w:p>
    <w:p>
      <w:pPr>
        <w:pStyle w:val="Heading2"/>
        <w:keepNext/>
      </w:pPr>
      <w:r>
        <w:rPr>
          <w:rFonts w:ascii="Calibri" w:hAnsi="Calibri" w:eastAsia="Calibri"/>
          <w:b/>
          <w:color w:val="2E74B5"/>
          <w:sz w:val="26"/>
        </w:rPr>
        <w:t>20.3. Основные источники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[1] Земельный кодекс Российской Федерации № 136-ФЗ. Официальный текст: https://pravo.gov.ru/proxy/ips/?docbody=&amp;nd=102073184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[2] Федеральный закон № 218-ФЗ «О государственной регистрации недвижимости»: https://pravo.gov.ru/proxy/ips/?docbody=&amp;nd=102376335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[3] Приказ Росреестра от 22.07.2021 № П/0315 о государственном мониторинге земель: https://publication.pravo.gov.ru/Document/View/0001202112100058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[4] Приказ Росреестра от 23.08.2024 № П/0267/24 об изменениях, действующих с 01.03.2025: https://publication.pravo.gov.ru/document/0001202411210029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[5] Федеральный закон № 101-ФЗ «Об обеспечении плодородия земель сельскохозяйственного назначения»: https://pravo.gov.ru/proxy/ips/?docbody=&amp;nd=102054366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[6] Приказ Минсельхоза России от 24.12.2015 № 664 о мониторинге земель сельскохозяйственного назначения: https://publication.pravo.gov.ru/document/0001201603230036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[7] Водный кодекс Российской Федерации № 74-ФЗ: https://pravo.gov.ru/proxy/ips/?docbody=&amp;nd=102107048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[8] FAO/ITPS. Towards a definition of soil health: https://openknowledge.fao.org/server/api/core/bitstreams/ffb5feaf-8388-4e2f-b319-2260a9a6f5a2/content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[9] FAO. Global Soil Health Indicators and Assessment: https://www.fao.org/soils-portal/soil-degradation-restoration/global-soil-health-indicators-and-assessment/en/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[10] FAO. Soil Degradation and Restoration: https://www.fao.org/soils-portal/soil-degradation-restoration/en/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[11] UNCCD. Land Degradation Neutrality overview: https://www.unccd.int/land-and-life/land-degradation-neutrality/overview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[12] UNCCD. Scientific Conceptual Framework for Land Degradation Neutrality: https://www.unccd.int/land-and-life/land-degradation-neutrality/ldn-conceptual-framework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[13] UNEP. SDG indicator 15.3.1 and its three subindicators: https://sdgs.unep.org/article/sdg-indicator-1531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[14] IPBES. Assessment Report on Land Degradation and Restoration (2018): https://digitallibrary.un.org/record/3794559?ln=en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[15] Directive (EU) 2025/2360 — Soil Monitoring Law; international benchmark, not Russian law: https://eur-lex.europa.eu/eli/dir/2025/2360/oj/eng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[16] Copernicus Land Monitoring Service: https://land.copernicus.eu/en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[17] Copernicus Data Space. Sentinel-2 mission parameters: https://dataspace.copernicus.eu/data-collections/copernicus-sentinel-missions/sentinel-2</w:t>
      </w:r>
    </w:p>
    <w:p>
      <w:pPr>
        <w:spacing w:after="40" w:line="240" w:lineRule="auto"/>
      </w:pPr>
      <w:r>
        <w:rPr>
          <w:rFonts w:ascii="Calibri" w:hAnsi="Calibri" w:eastAsia="Calibri"/>
          <w:color w:val="5D6B78"/>
          <w:sz w:val="16"/>
        </w:rPr>
        <w:t>[18] OECD. Land cover change indicator: https://www.oecd.org/en/data/indicators/land-cover-change.html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before="60" w:after="60" w:line="276" w:lineRule="auto"/>
            </w:pPr>
            <w:r>
              <w:rPr>
                <w:rFonts w:ascii="Calibri" w:hAnsi="Calibri" w:eastAsia="Calibri"/>
                <w:b/>
                <w:color w:val="2E74B5"/>
                <w:sz w:val="19"/>
              </w:rPr>
              <w:t xml:space="preserve">СТАТУС ДОКУМЕНТА  </w:t>
            </w:r>
            <w:r>
              <w:rPr>
                <w:rFonts w:ascii="Calibri" w:hAnsi="Calibri" w:eastAsia="Calibri"/>
                <w:color w:val="18212B"/>
                <w:sz w:val="21"/>
              </w:rPr>
              <w:t>Концепция предназначена для предпроектного обсуждения. До официальной подачи проверяются действующие редакции нормативных актов, полномочия участников, методики, бюджет и условия доступа к данным.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/>
        <w:color w:val="5D6B78"/>
        <w:sz w:val="17"/>
      </w:rPr>
      <w:t xml:space="preserve">Страница </w:t>
    </w:r>
    <w:r>
      <w:rPr>
        <w:rFonts w:ascii="Calibri" w:hAnsi="Calibri" w:eastAsia="Calibri"/>
        <w:color w:val="5D6B78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Calibri"/>
        <w:b/>
        <w:color w:val="5D6B78"/>
        <w:sz w:val="17"/>
      </w:rPr>
      <w:t>ОРИОН 22:22  |  БИОЦЕНОЗ ЗЕМЛЕПОЛЬЗОВАНИЯ</w:t>
    </w:r>
    <w:r>
      <w:rPr>
        <w:rFonts w:ascii="Calibri" w:hAnsi="Calibri" w:eastAsia="Calibri"/>
        <w:b/>
        <w:color w:val="2E74B5"/>
        <w:sz w:val="17"/>
      </w:rPr>
      <w:tab/>
      <w:t>ЭКВИЛИБРИУМ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</w:pPr>
      <w:rPr>
        <w:rFonts w:ascii="Symbol" w:hAnsi="Symbol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 "/>
      <w:suff w:val="tab"/>
      <w:lvlJc w:val="left"/>
      <w:pPr>
        <w:tabs>
          <w:tab w:val="num" w:pos="540"/>
        </w:tabs>
        <w:ind w:left="540" w:hanging="28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</w:pPr>
    <w:rPr>
      <w:rFonts w:ascii="Calibri" w:hAnsi="Calibri"/>
      <w:color w:val="18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