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240"/>
        <w:jc w:val="center"/>
      </w:pPr>
      <w:r>
        <w:rPr>
          <w:rFonts w:ascii="Calibri" w:hAnsi="Calibri" w:eastAsia="Calibri"/>
          <w:b/>
          <w:color w:val="2E74B5"/>
          <w:sz w:val="20"/>
        </w:rPr>
        <w:t>НАУЧНО-ПРИКЛАДНАЯ КОНЦЕПЦИЯ</w:t>
      </w:r>
    </w:p>
    <w:p>
      <w:pPr>
        <w:spacing w:after="80"/>
        <w:jc w:val="center"/>
      </w:pPr>
      <w:r>
        <w:rPr>
          <w:rFonts w:ascii="Calibri" w:hAnsi="Calibri" w:eastAsia="Calibri"/>
          <w:b/>
          <w:color w:val="0B2545"/>
          <w:sz w:val="60"/>
        </w:rPr>
        <w:t>БИОЦЕНОЗ: ВОЗДУХ</w:t>
      </w:r>
    </w:p>
    <w:p>
      <w:pPr>
        <w:spacing w:after="280"/>
        <w:jc w:val="center"/>
      </w:pPr>
      <w:r>
        <w:rPr>
          <w:rFonts w:ascii="Calibri" w:hAnsi="Calibri" w:eastAsia="Calibri"/>
          <w:b w:val="0"/>
          <w:color w:val="2E74B5"/>
          <w:sz w:val="27"/>
        </w:rPr>
        <w:t>Система мониторинга аэробиома и биологических факторов качества воздушной среды</w:t>
      </w:r>
    </w:p>
    <w:p>
      <w:pPr>
        <w:spacing w:after="280"/>
        <w:jc w:val="center"/>
      </w:pPr>
      <w:r>
        <w:drawing>
          <wp:inline xmlns:a="http://schemas.openxmlformats.org/drawingml/2006/main" xmlns:pic="http://schemas.openxmlformats.org/drawingml/2006/picture">
            <wp:extent cx="5943600" cy="3345052"/>
            <wp:docPr id="1" name="Picture 1" descr="Земля и потоки атмосферы, переносящие биологические частицы" title="Живая атмосфера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exec-367ae217-80e6-4081-bd1d-d80ead5ffa38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505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20"/>
        <w:jc w:val="center"/>
      </w:pPr>
      <w:r>
        <w:rPr>
          <w:rFonts w:ascii="Calibri" w:hAnsi="Calibri" w:eastAsia="Calibri"/>
          <w:b/>
          <w:color w:val="0B2545"/>
          <w:sz w:val="24"/>
        </w:rPr>
        <w:t>ЭКВИЛИБРИУМ — ECO-PPA — СПЕЦЗАЩИТА</w:t>
      </w:r>
    </w:p>
    <w:p>
      <w:pPr>
        <w:spacing w:after="40"/>
        <w:jc w:val="center"/>
      </w:pPr>
      <w:r>
        <w:rPr>
          <w:rFonts w:ascii="Calibri" w:hAnsi="Calibri" w:eastAsia="Calibri"/>
          <w:color w:val="5D6B78"/>
          <w:sz w:val="19"/>
        </w:rPr>
        <w:t>Проект ОРИОН 22:22  |  Версия 1.0</w:t>
      </w:r>
    </w:p>
    <w:p>
      <w:pPr>
        <w:jc w:val="center"/>
      </w:pPr>
      <w:r>
        <w:rPr>
          <w:rFonts w:ascii="Calibri" w:hAnsi="Calibri" w:eastAsia="Calibri"/>
          <w:color w:val="5D6B78"/>
          <w:sz w:val="19"/>
        </w:rPr>
        <w:t>26 августа 2026 года</w:t>
      </w:r>
    </w:p>
    <w:p>
      <w:r>
        <w:br w:type="page"/>
      </w:r>
    </w:p>
    <w:p>
      <w:pPr>
        <w:spacing w:after="160"/>
      </w:pPr>
      <w:r>
        <w:rPr>
          <w:rFonts w:ascii="Calibri" w:hAnsi="Calibri" w:eastAsia="Calibri"/>
          <w:b/>
          <w:color w:val="0B2545"/>
          <w:sz w:val="38"/>
        </w:rPr>
        <w:t>РЕЗЮМЕ ДЛЯ ПРИНЯТИЯ РЕШЕНИЙ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c>
          <w:tcPr>
            <w:tcW w:type="dxa" w:w="93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DDEFF8"/>
          </w:tcPr>
          <w:p>
            <w:pPr>
              <w:spacing w:before="60" w:after="60" w:line="276" w:lineRule="auto"/>
            </w:pPr>
            <w:r>
              <w:rPr>
                <w:rFonts w:ascii="Calibri" w:hAnsi="Calibri" w:eastAsia="Calibri"/>
                <w:b/>
                <w:color w:val="0B2545"/>
                <w:sz w:val="19"/>
              </w:rPr>
              <w:t xml:space="preserve">ГЛАВНАЯ ИДЕЯ  </w:t>
            </w:r>
            <w:r>
              <w:rPr>
                <w:rFonts w:ascii="Calibri" w:hAnsi="Calibri" w:eastAsia="Calibri"/>
                <w:color w:val="18212B"/>
                <w:sz w:val="21"/>
              </w:rPr>
              <w:t>Воздух рассматривается как динамическая среда переноса химических веществ, частиц, пыльцы, спор, микроорганизмов и экологических сигналов между природными, городскими, сельскохозяйственными и промышленными системами.</w:t>
            </w:r>
          </w:p>
        </w:tc>
      </w:tr>
    </w:tbl>
    <w:p>
      <w:pPr>
        <w:spacing w:after="20"/>
      </w:pPr>
    </w:p>
    <w:p>
      <w:pPr>
        <w:spacing w:after="160" w:line="320" w:lineRule="auto"/>
        <w:jc w:val="both"/>
      </w:pPr>
      <w:r>
        <w:rPr>
          <w:rFonts w:ascii="Calibri" w:hAnsi="Calibri" w:eastAsia="Calibri"/>
          <w:color w:val="18212B"/>
          <w:sz w:val="22"/>
        </w:rPr>
        <w:t>«Биоценоз: Воздух» переводит мониторинг атмосферы из режима фиксации отдельных превышений в режим раннего предупреждения, установления вероятного источника, прогноза переноса, оценки воздействия и проверки результата принятых мер. Система дополняет, но не заменяет государственный экологический, санитарный и гидрометеорологический контроль.</w:t>
      </w:r>
    </w:p>
    <w:p>
      <w:pPr>
        <w:spacing w:after="160" w:line="320" w:lineRule="auto"/>
        <w:jc w:val="both"/>
      </w:pPr>
      <w:r>
        <w:rPr>
          <w:rFonts w:ascii="Calibri" w:hAnsi="Calibri" w:eastAsia="Calibri"/>
          <w:color w:val="18212B"/>
          <w:sz w:val="22"/>
        </w:rPr>
        <w:t>Научно точное ядро проекта — мониторинг аэробиома, биоаэрозолей и физико-химической матрицы воздушной среды. Термин «Биоценоз» сохраняется как сильное проектное название, при этом документ прямо разграничивает обнаружение биологического маркера, жизнеспособность, активность, инфекционность и реальный риск.</w:t>
      </w:r>
    </w:p>
    <w:p>
      <w:pPr>
        <w:pStyle w:val="Heading2"/>
        <w:keepNext/>
      </w:pPr>
      <w:r>
        <w:rPr>
          <w:rFonts w:ascii="Calibri" w:hAnsi="Calibri" w:eastAsia="Calibri"/>
          <w:b/>
          <w:color w:val="2E74B5"/>
          <w:sz w:val="26"/>
        </w:rPr>
        <w:t>Шесть управленческих вопросов</w:t>
      </w:r>
    </w:p>
    <w:p>
      <w:pPr>
        <w:numPr>
          <w:ilvl w:val="0"/>
          <w:numId w:val="11"/>
        </w:numPr>
        <w:spacing w:after="80" w:line="290" w:lineRule="auto"/>
      </w:pPr>
      <w:r>
        <w:rPr>
          <w:rFonts w:ascii="Calibri" w:hAnsi="Calibri" w:eastAsia="Calibri"/>
          <w:color w:val="18212B"/>
          <w:sz w:val="22"/>
        </w:rPr>
        <w:t>Что происходит с воздухом сейчас?</w:t>
      </w:r>
    </w:p>
    <w:p>
      <w:pPr>
        <w:numPr>
          <w:ilvl w:val="0"/>
          <w:numId w:val="11"/>
        </w:numPr>
        <w:spacing w:after="80" w:line="290" w:lineRule="auto"/>
      </w:pPr>
      <w:r>
        <w:rPr>
          <w:rFonts w:ascii="Calibri" w:hAnsi="Calibri" w:eastAsia="Calibri"/>
          <w:color w:val="18212B"/>
          <w:sz w:val="22"/>
        </w:rPr>
        <w:t>Является ли изменение естественным, сезонным или опасным?</w:t>
      </w:r>
    </w:p>
    <w:p>
      <w:pPr>
        <w:numPr>
          <w:ilvl w:val="0"/>
          <w:numId w:val="11"/>
        </w:numPr>
        <w:spacing w:after="80" w:line="290" w:lineRule="auto"/>
      </w:pPr>
      <w:r>
        <w:rPr>
          <w:rFonts w:ascii="Calibri" w:hAnsi="Calibri" w:eastAsia="Calibri"/>
          <w:color w:val="18212B"/>
          <w:sz w:val="22"/>
        </w:rPr>
        <w:t>Где находится вероятный источник?</w:t>
      </w:r>
    </w:p>
    <w:p>
      <w:pPr>
        <w:numPr>
          <w:ilvl w:val="0"/>
          <w:numId w:val="11"/>
        </w:numPr>
        <w:spacing w:after="80" w:line="290" w:lineRule="auto"/>
      </w:pPr>
      <w:r>
        <w:rPr>
          <w:rFonts w:ascii="Calibri" w:hAnsi="Calibri" w:eastAsia="Calibri"/>
          <w:color w:val="18212B"/>
          <w:sz w:val="22"/>
        </w:rPr>
        <w:t>Куда и с какой скоростью перемещается воздействие?</w:t>
      </w:r>
    </w:p>
    <w:p>
      <w:pPr>
        <w:numPr>
          <w:ilvl w:val="0"/>
          <w:numId w:val="11"/>
        </w:numPr>
        <w:spacing w:after="80" w:line="290" w:lineRule="auto"/>
      </w:pPr>
      <w:r>
        <w:rPr>
          <w:rFonts w:ascii="Calibri" w:hAnsi="Calibri" w:eastAsia="Calibri"/>
          <w:color w:val="18212B"/>
          <w:sz w:val="22"/>
        </w:rPr>
        <w:t>Кто и какие экосистемы подвергаются риску?</w:t>
      </w:r>
    </w:p>
    <w:p>
      <w:pPr>
        <w:numPr>
          <w:ilvl w:val="0"/>
          <w:numId w:val="11"/>
        </w:numPr>
        <w:spacing w:after="80" w:line="290" w:lineRule="auto"/>
      </w:pPr>
      <w:r>
        <w:rPr>
          <w:rFonts w:ascii="Calibri" w:hAnsi="Calibri" w:eastAsia="Calibri"/>
          <w:color w:val="18212B"/>
          <w:sz w:val="22"/>
        </w:rPr>
        <w:t>Какое действие необходимо и дало ли оно измеримый результат?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c>
          <w:tcPr>
            <w:tcW w:type="dxa" w:w="93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EEF6F2"/>
          </w:tcPr>
          <w:p>
            <w:pPr>
              <w:spacing w:before="60" w:after="60" w:line="276" w:lineRule="auto"/>
            </w:pPr>
            <w:r>
              <w:rPr>
                <w:rFonts w:ascii="Calibri" w:hAnsi="Calibri" w:eastAsia="Calibri"/>
                <w:b/>
                <w:color w:val="4E8B73"/>
                <w:sz w:val="19"/>
              </w:rPr>
              <w:t xml:space="preserve">ПРЕДЛАГАЕМОЕ РЕШЕНИЕ  </w:t>
            </w:r>
            <w:r>
              <w:rPr>
                <w:rFonts w:ascii="Calibri" w:hAnsi="Calibri" w:eastAsia="Calibri"/>
                <w:color w:val="18212B"/>
                <w:sz w:val="21"/>
              </w:rPr>
              <w:t>Утвердить предпроектный этап, выбрать пилотную территорию и за 60 дней сформировать научный протокол, карту источников и рецепторов, архитектуру сети, план качества данных и паспорт пилота ECO-PPA.</w:t>
            </w:r>
          </w:p>
        </w:tc>
      </w:tr>
    </w:tbl>
    <w:p>
      <w:pPr>
        <w:spacing w:after="20"/>
      </w:pPr>
    </w:p>
    <w:p>
      <w:r>
        <w:br w:type="page"/>
      </w:r>
    </w:p>
    <w:p>
      <w:pPr>
        <w:pStyle w:val="Heading2"/>
        <w:keepNext/>
      </w:pPr>
      <w:r>
        <w:rPr>
          <w:rFonts w:ascii="Calibri" w:hAnsi="Calibri" w:eastAsia="Calibri"/>
          <w:b/>
          <w:color w:val="2E74B5"/>
          <w:sz w:val="26"/>
        </w:rPr>
        <w:t>Структура документа</w:t>
      </w:r>
    </w:p>
    <w:p>
      <w:pPr>
        <w:numPr>
          <w:ilvl w:val="0"/>
          <w:numId w:val="13"/>
        </w:numPr>
        <w:spacing w:after="40" w:line="240" w:lineRule="auto"/>
      </w:pPr>
      <w:r>
        <w:rPr>
          <w:rFonts w:ascii="Calibri" w:hAnsi="Calibri" w:eastAsia="Calibri"/>
          <w:color w:val="18212B"/>
          <w:sz w:val="19"/>
        </w:rPr>
        <w:t>Смысл проекта</w:t>
      </w:r>
    </w:p>
    <w:p>
      <w:pPr>
        <w:numPr>
          <w:ilvl w:val="0"/>
          <w:numId w:val="13"/>
        </w:numPr>
        <w:spacing w:after="40" w:line="240" w:lineRule="auto"/>
      </w:pPr>
      <w:r>
        <w:rPr>
          <w:rFonts w:ascii="Calibri" w:hAnsi="Calibri" w:eastAsia="Calibri"/>
          <w:color w:val="18212B"/>
          <w:sz w:val="19"/>
        </w:rPr>
        <w:t>Научная рамка и рабочее определение</w:t>
      </w:r>
    </w:p>
    <w:p>
      <w:pPr>
        <w:numPr>
          <w:ilvl w:val="0"/>
          <w:numId w:val="13"/>
        </w:numPr>
        <w:spacing w:after="40" w:line="240" w:lineRule="auto"/>
      </w:pPr>
      <w:r>
        <w:rPr>
          <w:rFonts w:ascii="Calibri" w:hAnsi="Calibri" w:eastAsia="Calibri"/>
          <w:color w:val="18212B"/>
          <w:sz w:val="19"/>
        </w:rPr>
        <w:t>Миссия, цель и задачи</w:t>
      </w:r>
    </w:p>
    <w:p>
      <w:pPr>
        <w:numPr>
          <w:ilvl w:val="0"/>
          <w:numId w:val="13"/>
        </w:numPr>
        <w:spacing w:after="40" w:line="240" w:lineRule="auto"/>
      </w:pPr>
      <w:r>
        <w:rPr>
          <w:rFonts w:ascii="Calibri" w:hAnsi="Calibri" w:eastAsia="Calibri"/>
          <w:color w:val="18212B"/>
          <w:sz w:val="19"/>
        </w:rPr>
        <w:t>Принципы системы</w:t>
      </w:r>
    </w:p>
    <w:p>
      <w:pPr>
        <w:numPr>
          <w:ilvl w:val="0"/>
          <w:numId w:val="13"/>
        </w:numPr>
        <w:spacing w:after="40" w:line="240" w:lineRule="auto"/>
      </w:pPr>
      <w:r>
        <w:rPr>
          <w:rFonts w:ascii="Calibri" w:hAnsi="Calibri" w:eastAsia="Calibri"/>
          <w:color w:val="18212B"/>
          <w:sz w:val="19"/>
        </w:rPr>
        <w:t>Объект и границы наблюдения</w:t>
      </w:r>
    </w:p>
    <w:p>
      <w:pPr>
        <w:numPr>
          <w:ilvl w:val="0"/>
          <w:numId w:val="13"/>
        </w:numPr>
        <w:spacing w:after="40" w:line="240" w:lineRule="auto"/>
      </w:pPr>
      <w:r>
        <w:rPr>
          <w:rFonts w:ascii="Calibri" w:hAnsi="Calibri" w:eastAsia="Calibri"/>
          <w:color w:val="18212B"/>
          <w:sz w:val="19"/>
        </w:rPr>
        <w:t>Контур наблюдения</w:t>
      </w:r>
    </w:p>
    <w:p>
      <w:pPr>
        <w:numPr>
          <w:ilvl w:val="0"/>
          <w:numId w:val="13"/>
        </w:numPr>
        <w:spacing w:after="40" w:line="240" w:lineRule="auto"/>
      </w:pPr>
      <w:r>
        <w:rPr>
          <w:rFonts w:ascii="Calibri" w:hAnsi="Calibri" w:eastAsia="Calibri"/>
          <w:color w:val="18212B"/>
          <w:sz w:val="19"/>
        </w:rPr>
        <w:t>Показатели и нормативные ориентиры</w:t>
      </w:r>
    </w:p>
    <w:p>
      <w:pPr>
        <w:numPr>
          <w:ilvl w:val="0"/>
          <w:numId w:val="13"/>
        </w:numPr>
        <w:spacing w:after="40" w:line="240" w:lineRule="auto"/>
      </w:pPr>
      <w:r>
        <w:rPr>
          <w:rFonts w:ascii="Calibri" w:hAnsi="Calibri" w:eastAsia="Calibri"/>
          <w:color w:val="18212B"/>
          <w:sz w:val="19"/>
        </w:rPr>
        <w:t>Измерительная сеть</w:t>
      </w:r>
    </w:p>
    <w:p>
      <w:pPr>
        <w:numPr>
          <w:ilvl w:val="0"/>
          <w:numId w:val="13"/>
        </w:numPr>
        <w:spacing w:after="40" w:line="240" w:lineRule="auto"/>
      </w:pPr>
      <w:r>
        <w:rPr>
          <w:rFonts w:ascii="Calibri" w:hAnsi="Calibri" w:eastAsia="Calibri"/>
          <w:color w:val="18212B"/>
          <w:sz w:val="19"/>
        </w:rPr>
        <w:t>Архитектура данных ЭКВИЛИБРИУМ</w:t>
      </w:r>
    </w:p>
    <w:p>
      <w:pPr>
        <w:numPr>
          <w:ilvl w:val="0"/>
          <w:numId w:val="13"/>
        </w:numPr>
        <w:spacing w:after="40" w:line="240" w:lineRule="auto"/>
      </w:pPr>
      <w:r>
        <w:rPr>
          <w:rFonts w:ascii="Calibri" w:hAnsi="Calibri" w:eastAsia="Calibri"/>
          <w:color w:val="18212B"/>
          <w:sz w:val="19"/>
        </w:rPr>
        <w:t>Атлас угроз</w:t>
      </w:r>
    </w:p>
    <w:p>
      <w:pPr>
        <w:numPr>
          <w:ilvl w:val="0"/>
          <w:numId w:val="13"/>
        </w:numPr>
        <w:spacing w:after="40" w:line="240" w:lineRule="auto"/>
      </w:pPr>
      <w:r>
        <w:rPr>
          <w:rFonts w:ascii="Calibri" w:hAnsi="Calibri" w:eastAsia="Calibri"/>
          <w:color w:val="18212B"/>
          <w:sz w:val="19"/>
        </w:rPr>
        <w:t>Алгоритм реакции</w:t>
      </w:r>
    </w:p>
    <w:p>
      <w:pPr>
        <w:numPr>
          <w:ilvl w:val="0"/>
          <w:numId w:val="13"/>
        </w:numPr>
        <w:spacing w:after="40" w:line="240" w:lineRule="auto"/>
      </w:pPr>
      <w:r>
        <w:rPr>
          <w:rFonts w:ascii="Calibri" w:hAnsi="Calibri" w:eastAsia="Calibri"/>
          <w:color w:val="18212B"/>
          <w:sz w:val="19"/>
        </w:rPr>
        <w:t>ECO-PPA как контур реализации</w:t>
      </w:r>
    </w:p>
    <w:p>
      <w:pPr>
        <w:numPr>
          <w:ilvl w:val="0"/>
          <w:numId w:val="13"/>
        </w:numPr>
        <w:spacing w:after="40" w:line="240" w:lineRule="auto"/>
      </w:pPr>
      <w:r>
        <w:rPr>
          <w:rFonts w:ascii="Calibri" w:hAnsi="Calibri" w:eastAsia="Calibri"/>
          <w:color w:val="18212B"/>
          <w:sz w:val="19"/>
        </w:rPr>
        <w:t>Распределение ролей</w:t>
      </w:r>
    </w:p>
    <w:p>
      <w:pPr>
        <w:numPr>
          <w:ilvl w:val="0"/>
          <w:numId w:val="13"/>
        </w:numPr>
        <w:spacing w:after="40" w:line="240" w:lineRule="auto"/>
      </w:pPr>
      <w:r>
        <w:rPr>
          <w:rFonts w:ascii="Calibri" w:hAnsi="Calibri" w:eastAsia="Calibri"/>
          <w:color w:val="18212B"/>
          <w:sz w:val="19"/>
        </w:rPr>
        <w:t>Пилот на 12 месяцев</w:t>
      </w:r>
    </w:p>
    <w:p>
      <w:pPr>
        <w:numPr>
          <w:ilvl w:val="0"/>
          <w:numId w:val="13"/>
        </w:numPr>
        <w:spacing w:after="40" w:line="240" w:lineRule="auto"/>
      </w:pPr>
      <w:r>
        <w:rPr>
          <w:rFonts w:ascii="Calibri" w:hAnsi="Calibri" w:eastAsia="Calibri"/>
          <w:color w:val="18212B"/>
          <w:sz w:val="19"/>
        </w:rPr>
        <w:t>KPI и доказательность</w:t>
      </w:r>
    </w:p>
    <w:p>
      <w:pPr>
        <w:numPr>
          <w:ilvl w:val="0"/>
          <w:numId w:val="13"/>
        </w:numPr>
        <w:spacing w:after="40" w:line="240" w:lineRule="auto"/>
      </w:pPr>
      <w:r>
        <w:rPr>
          <w:rFonts w:ascii="Calibri" w:hAnsi="Calibri" w:eastAsia="Calibri"/>
          <w:color w:val="18212B"/>
          <w:sz w:val="19"/>
        </w:rPr>
        <w:t>Риски и ограничения</w:t>
      </w:r>
    </w:p>
    <w:p>
      <w:pPr>
        <w:numPr>
          <w:ilvl w:val="0"/>
          <w:numId w:val="13"/>
        </w:numPr>
        <w:spacing w:after="40" w:line="240" w:lineRule="auto"/>
      </w:pPr>
      <w:r>
        <w:rPr>
          <w:rFonts w:ascii="Calibri" w:hAnsi="Calibri" w:eastAsia="Calibri"/>
          <w:color w:val="18212B"/>
          <w:sz w:val="19"/>
        </w:rPr>
        <w:t>Масштабирование</w:t>
      </w:r>
    </w:p>
    <w:p>
      <w:pPr>
        <w:numPr>
          <w:ilvl w:val="0"/>
          <w:numId w:val="13"/>
        </w:numPr>
        <w:spacing w:after="40" w:line="240" w:lineRule="auto"/>
      </w:pPr>
      <w:r>
        <w:rPr>
          <w:rFonts w:ascii="Calibri" w:hAnsi="Calibri" w:eastAsia="Calibri"/>
          <w:color w:val="18212B"/>
          <w:sz w:val="19"/>
        </w:rPr>
        <w:t>Итоговое решение и источники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c>
          <w:tcPr>
            <w:tcW w:type="dxa" w:w="93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4F8FB"/>
          </w:tcPr>
          <w:p>
            <w:pPr>
              <w:spacing w:before="60" w:after="60" w:line="276" w:lineRule="auto"/>
            </w:pPr>
            <w:r>
              <w:rPr>
                <w:rFonts w:ascii="Calibri" w:hAnsi="Calibri" w:eastAsia="Calibri"/>
                <w:b/>
                <w:color w:val="2E74B5"/>
                <w:sz w:val="19"/>
              </w:rPr>
              <w:t xml:space="preserve">ЛОГИКА ЧТЕНИЯ  </w:t>
            </w:r>
            <w:r>
              <w:rPr>
                <w:rFonts w:ascii="Calibri" w:hAnsi="Calibri" w:eastAsia="Calibri"/>
                <w:color w:val="18212B"/>
                <w:sz w:val="21"/>
              </w:rPr>
              <w:t>Разделы 1–6 задают научную рамку; 7–13 описывают измерения, данные и управление; 14–18 формируют пилот, критерии успеха и решение о масштабировании.</w:t>
            </w:r>
          </w:p>
        </w:tc>
      </w:tr>
    </w:tbl>
    <w:p>
      <w:pPr>
        <w:spacing w:after="20"/>
      </w:pPr>
    </w:p>
    <w:p>
      <w:bookmarkStart w:id="1" w:name="section_1"/>
      <w:pPr>
        <w:pStyle w:val="Heading1"/>
        <w:keepNext/>
        <w:pageBreakBefore/>
      </w:pPr>
      <w:r>
        <w:rPr>
          <w:rFonts w:ascii="Calibri" w:hAnsi="Calibri" w:eastAsia="Calibri"/>
          <w:b/>
          <w:color w:val="2E74B5"/>
          <w:sz w:val="32"/>
        </w:rPr>
        <w:t>1. Смысл проекта</w:t>
      </w:r>
      <w:bookmarkEnd w:id="1"/>
    </w:p>
    <w:p>
      <w:pPr>
        <w:spacing w:after="160" w:line="320" w:lineRule="auto"/>
        <w:jc w:val="both"/>
      </w:pPr>
      <w:r>
        <w:rPr>
          <w:rFonts w:ascii="Calibri" w:hAnsi="Calibri" w:eastAsia="Calibri"/>
          <w:color w:val="18212B"/>
          <w:sz w:val="22"/>
        </w:rPr>
        <w:t>Традиционный мониторинг воздуха чаще организован по отдельным ведомственным контурам: метеорология, химические загрязнители, санитарный надзор, биологические наблюдения и данные предприятий существуют рядом, но не всегда связаны в единую причинно-следственную картину. Проект создаёт сквозную управленческую цепочку: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c>
          <w:tcPr>
            <w:tcW w:type="dxa" w:w="93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DDEFF8"/>
          </w:tcPr>
          <w:p>
            <w:pPr>
              <w:spacing w:before="60" w:after="60" w:line="276" w:lineRule="auto"/>
            </w:pPr>
            <w:r>
              <w:rPr>
                <w:rFonts w:ascii="Calibri" w:hAnsi="Calibri" w:eastAsia="Calibri"/>
                <w:b/>
                <w:color w:val="0B2545"/>
                <w:sz w:val="19"/>
              </w:rPr>
              <w:t xml:space="preserve">ЦЕПОЧКА УПРАВЛЕНИЯ  </w:t>
            </w:r>
            <w:r>
              <w:rPr>
                <w:rFonts w:ascii="Calibri" w:hAnsi="Calibri" w:eastAsia="Calibri"/>
                <w:color w:val="18212B"/>
                <w:sz w:val="21"/>
              </w:rPr>
              <w:t>источник → эмиссия → перенос и трансформация → экспозиция → воздействие → реакция → проверка результата</w:t>
            </w:r>
          </w:p>
        </w:tc>
      </w:tr>
    </w:tbl>
    <w:p>
      <w:pPr>
        <w:spacing w:after="20"/>
      </w:pPr>
    </w:p>
    <w:p>
      <w:pPr>
        <w:numPr>
          <w:ilvl w:val="0"/>
          <w:numId w:val="10"/>
        </w:numPr>
        <w:spacing w:after="80" w:line="290" w:lineRule="auto"/>
      </w:pPr>
      <w:r>
        <w:rPr>
          <w:rFonts w:ascii="Calibri" w:hAnsi="Calibri" w:eastAsia="Calibri"/>
          <w:color w:val="18212B"/>
          <w:sz w:val="22"/>
        </w:rPr>
        <w:t>наблюдать одновременно физические, химические и биологические факторы;</w:t>
      </w:r>
    </w:p>
    <w:p>
      <w:pPr>
        <w:numPr>
          <w:ilvl w:val="0"/>
          <w:numId w:val="10"/>
        </w:numPr>
        <w:spacing w:after="80" w:line="290" w:lineRule="auto"/>
      </w:pPr>
      <w:r>
        <w:rPr>
          <w:rFonts w:ascii="Calibri" w:hAnsi="Calibri" w:eastAsia="Calibri"/>
          <w:color w:val="18212B"/>
          <w:sz w:val="22"/>
        </w:rPr>
        <w:t>различать сезонный фон, локальную аномалию и дальний перенос;</w:t>
      </w:r>
    </w:p>
    <w:p>
      <w:pPr>
        <w:numPr>
          <w:ilvl w:val="0"/>
          <w:numId w:val="10"/>
        </w:numPr>
        <w:spacing w:after="80" w:line="290" w:lineRule="auto"/>
      </w:pPr>
      <w:r>
        <w:rPr>
          <w:rFonts w:ascii="Calibri" w:hAnsi="Calibri" w:eastAsia="Calibri"/>
          <w:color w:val="18212B"/>
          <w:sz w:val="22"/>
        </w:rPr>
        <w:t>связывать измерение с вероятным источником и чувствительным рецептором;</w:t>
      </w:r>
    </w:p>
    <w:p>
      <w:pPr>
        <w:numPr>
          <w:ilvl w:val="0"/>
          <w:numId w:val="10"/>
        </w:numPr>
        <w:spacing w:after="80" w:line="290" w:lineRule="auto"/>
      </w:pPr>
      <w:r>
        <w:rPr>
          <w:rFonts w:ascii="Calibri" w:hAnsi="Calibri" w:eastAsia="Calibri"/>
          <w:color w:val="18212B"/>
          <w:sz w:val="22"/>
        </w:rPr>
        <w:t>прогнозировать развитие ситуации и время достижения уязвимых объектов;</w:t>
      </w:r>
    </w:p>
    <w:p>
      <w:pPr>
        <w:numPr>
          <w:ilvl w:val="0"/>
          <w:numId w:val="10"/>
        </w:numPr>
        <w:spacing w:after="80" w:line="290" w:lineRule="auto"/>
      </w:pPr>
      <w:r>
        <w:rPr>
          <w:rFonts w:ascii="Calibri" w:hAnsi="Calibri" w:eastAsia="Calibri"/>
          <w:color w:val="18212B"/>
          <w:sz w:val="22"/>
        </w:rPr>
        <w:t>оформлять меры как проверяемые проекты ECO-PPA;</w:t>
      </w:r>
    </w:p>
    <w:p>
      <w:pPr>
        <w:numPr>
          <w:ilvl w:val="0"/>
          <w:numId w:val="10"/>
        </w:numPr>
        <w:spacing w:after="80" w:line="290" w:lineRule="auto"/>
      </w:pPr>
      <w:r>
        <w:rPr>
          <w:rFonts w:ascii="Calibri" w:hAnsi="Calibri" w:eastAsia="Calibri"/>
          <w:color w:val="18212B"/>
          <w:sz w:val="22"/>
        </w:rPr>
        <w:t>проверять эффект вмешательства по данным до, после и на контрольной территории.</w:t>
      </w:r>
    </w:p>
    <w:p>
      <w:bookmarkStart w:id="2" w:name="section_2"/>
      <w:pPr>
        <w:pStyle w:val="Heading1"/>
        <w:keepNext/>
        <w:pageBreakBefore w:val="0"/>
      </w:pPr>
      <w:r>
        <w:rPr>
          <w:rFonts w:ascii="Calibri" w:hAnsi="Calibri" w:eastAsia="Calibri"/>
          <w:b/>
          <w:color w:val="2E74B5"/>
          <w:sz w:val="32"/>
        </w:rPr>
        <w:t>2. Научная рамка и рабочее определение</w:t>
      </w:r>
      <w:bookmarkEnd w:id="2"/>
    </w:p>
    <w:p>
      <w:pPr>
        <w:pStyle w:val="Heading2"/>
        <w:keepNext/>
      </w:pPr>
      <w:r>
        <w:rPr>
          <w:rFonts w:ascii="Calibri" w:hAnsi="Calibri" w:eastAsia="Calibri"/>
          <w:b/>
          <w:color w:val="2E74B5"/>
          <w:sz w:val="26"/>
        </w:rPr>
        <w:t>2.1. Почему термин требует пояснения</w:t>
      </w:r>
    </w:p>
    <w:p>
      <w:pPr>
        <w:spacing w:after="160" w:line="320" w:lineRule="auto"/>
        <w:jc w:val="both"/>
      </w:pPr>
      <w:r>
        <w:rPr>
          <w:rFonts w:ascii="Calibri" w:hAnsi="Calibri" w:eastAsia="Calibri"/>
          <w:color w:val="18212B"/>
          <w:sz w:val="22"/>
        </w:rPr>
        <w:t>В строгой экологии биоценоз — совокупность взаимодействующих популяций, населяющих определённый биотоп. Для значительной части организмов атмосфера служит временной средой переноса. Поэтому нельзя объявлять всю атмосферу единым доказанным самоподдерживающимся биоценозом. Более точные научные термины: аэробиота, аэробиом, атмосферный микробиом и биоаэрозоль.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c>
          <w:tcPr>
            <w:tcW w:type="dxa" w:w="93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FF6F3"/>
          </w:tcPr>
          <w:p>
            <w:pPr>
              <w:spacing w:before="60" w:after="60" w:line="276" w:lineRule="auto"/>
            </w:pPr>
            <w:r>
              <w:rPr>
                <w:rFonts w:ascii="Calibri" w:hAnsi="Calibri" w:eastAsia="Calibri"/>
                <w:b/>
                <w:color w:val="9B1C1C"/>
                <w:sz w:val="19"/>
              </w:rPr>
              <w:t xml:space="preserve">НАУЧНОЕ ОГРАНИЧЕНИЕ  </w:t>
            </w:r>
            <w:r>
              <w:rPr>
                <w:rFonts w:ascii="Calibri" w:hAnsi="Calibri" w:eastAsia="Calibri"/>
                <w:color w:val="18212B"/>
                <w:sz w:val="21"/>
              </w:rPr>
              <w:t>Обнаружение ДНК или РНК в пробе воздуха не доказывает, что организм жив, метаболически активен, инфекционен или опасен. Эти свойства требуют отдельных методов подтверждения.</w:t>
            </w:r>
          </w:p>
        </w:tc>
      </w:tr>
    </w:tbl>
    <w:p>
      <w:pPr>
        <w:spacing w:after="20"/>
      </w:pPr>
    </w:p>
    <w:p>
      <w:pPr>
        <w:pStyle w:val="Heading2"/>
        <w:keepNext/>
      </w:pPr>
      <w:r>
        <w:rPr>
          <w:rFonts w:ascii="Calibri" w:hAnsi="Calibri" w:eastAsia="Calibri"/>
          <w:b/>
          <w:color w:val="2E74B5"/>
          <w:sz w:val="26"/>
        </w:rPr>
        <w:t>2.2. Рабочее определение</w:t>
      </w:r>
    </w:p>
    <w:p>
      <w:pPr>
        <w:spacing w:after="160" w:line="320" w:lineRule="auto"/>
        <w:jc w:val="both"/>
      </w:pPr>
      <w:r>
        <w:rPr>
          <w:rFonts w:ascii="Calibri" w:hAnsi="Calibri" w:eastAsia="Calibri"/>
          <w:color w:val="18212B"/>
          <w:sz w:val="22"/>
        </w:rPr>
        <w:t>«Биоценоз: Воздух» — проектное название динамической природно-техногенной системы, включающей аэробиоту и биологические частицы воздушной среды, физико-химическую матрицу атмосферы, источники, процессы переноса и трансформации, объекты воздействия, а также цифровые и организационные механизмы предупреждения и управления рисками.</w:t>
      </w:r>
    </w:p>
    <w:p>
      <w:pPr>
        <w:spacing w:after="160" w:line="320" w:lineRule="auto"/>
        <w:jc w:val="both"/>
      </w:pPr>
      <w:r>
        <w:rPr>
          <w:rFonts w:ascii="Calibri" w:hAnsi="Calibri" w:eastAsia="Calibri"/>
          <w:color w:val="18212B"/>
          <w:sz w:val="22"/>
        </w:rPr>
        <w:t>Аэробиом — динамическая совокупность микроорганизмов в заданном воздушном пространстве, меняющаяся в зависимости от сезона, времени суток, метеорологических условий, типа поверхности и происхождения воздушных масс. Исследования показывают воспроизводимые суточные и сезонные изменения состава атмосферного микробиома, а также перенос микроорганизмов на большие расстояния [8–12].</w:t>
      </w:r>
    </w:p>
    <w:p>
      <w:bookmarkStart w:id="3" w:name="section_3"/>
      <w:pPr>
        <w:pStyle w:val="Heading1"/>
        <w:keepNext/>
        <w:pageBreakBefore w:val="0"/>
      </w:pPr>
      <w:r>
        <w:rPr>
          <w:rFonts w:ascii="Calibri" w:hAnsi="Calibri" w:eastAsia="Calibri"/>
          <w:b/>
          <w:color w:val="2E74B5"/>
          <w:sz w:val="32"/>
        </w:rPr>
        <w:t>3. Миссия, цель и задачи</w:t>
      </w:r>
      <w:bookmarkEnd w:id="3"/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c>
          <w:tcPr>
            <w:tcW w:type="dxa" w:w="93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EEF6F2"/>
          </w:tcPr>
          <w:p>
            <w:pPr>
              <w:spacing w:before="60" w:after="60" w:line="276" w:lineRule="auto"/>
            </w:pPr>
            <w:r>
              <w:rPr>
                <w:rFonts w:ascii="Calibri" w:hAnsi="Calibri" w:eastAsia="Calibri"/>
                <w:b/>
                <w:color w:val="4E8B73"/>
                <w:sz w:val="19"/>
              </w:rPr>
              <w:t xml:space="preserve">МИССИЯ  </w:t>
            </w:r>
            <w:r>
              <w:rPr>
                <w:rFonts w:ascii="Calibri" w:hAnsi="Calibri" w:eastAsia="Calibri"/>
                <w:color w:val="18212B"/>
                <w:sz w:val="21"/>
              </w:rPr>
              <w:t>Создать цифровой орган экологического чувствования территории, способный распознавать изменения воздушной среды до возникновения масштабного вреда.</w:t>
            </w:r>
          </w:p>
        </w:tc>
      </w:tr>
    </w:tbl>
    <w:p>
      <w:pPr>
        <w:spacing w:after="20"/>
      </w:pPr>
    </w:p>
    <w:p>
      <w:pPr>
        <w:spacing w:after="160" w:line="320" w:lineRule="auto"/>
        <w:jc w:val="both"/>
      </w:pPr>
      <w:r>
        <w:rPr>
          <w:rFonts w:ascii="Calibri" w:hAnsi="Calibri" w:eastAsia="Calibri"/>
          <w:b/>
          <w:color w:val="18212B"/>
          <w:sz w:val="22"/>
        </w:rPr>
        <w:t>Стратегическая цель:</w:t>
      </w:r>
      <w:r>
        <w:rPr>
          <w:rFonts w:ascii="Calibri" w:hAnsi="Calibri" w:eastAsia="Calibri"/>
          <w:color w:val="18212B"/>
          <w:sz w:val="22"/>
        </w:rPr>
        <w:t xml:space="preserve"> обеспечить непрерывное наблюдение, прогнозирование и управляемое восстановление качества воздуха и связанных с ним природных систем на основе доказательных данных.</w:t>
      </w:r>
    </w:p>
    <w:p>
      <w:pPr>
        <w:numPr>
          <w:ilvl w:val="0"/>
          <w:numId w:val="10"/>
        </w:numPr>
        <w:spacing w:after="80" w:line="290" w:lineRule="auto"/>
      </w:pPr>
      <w:r>
        <w:rPr>
          <w:rFonts w:ascii="Calibri" w:hAnsi="Calibri" w:eastAsia="Calibri"/>
          <w:color w:val="18212B"/>
          <w:sz w:val="22"/>
        </w:rPr>
        <w:t>формировать многокомпонентную картину состояния воздуха;</w:t>
      </w:r>
    </w:p>
    <w:p>
      <w:pPr>
        <w:numPr>
          <w:ilvl w:val="0"/>
          <w:numId w:val="10"/>
        </w:numPr>
        <w:spacing w:after="80" w:line="290" w:lineRule="auto"/>
      </w:pPr>
      <w:r>
        <w:rPr>
          <w:rFonts w:ascii="Calibri" w:hAnsi="Calibri" w:eastAsia="Calibri"/>
          <w:color w:val="18212B"/>
          <w:sz w:val="22"/>
        </w:rPr>
        <w:t>выявлять химические, физические и биологические аномалии;</w:t>
      </w:r>
    </w:p>
    <w:p>
      <w:pPr>
        <w:numPr>
          <w:ilvl w:val="0"/>
          <w:numId w:val="10"/>
        </w:numPr>
        <w:spacing w:after="80" w:line="290" w:lineRule="auto"/>
      </w:pPr>
      <w:r>
        <w:rPr>
          <w:rFonts w:ascii="Calibri" w:hAnsi="Calibri" w:eastAsia="Calibri"/>
          <w:color w:val="18212B"/>
          <w:sz w:val="22"/>
        </w:rPr>
        <w:t>устанавливать вероятные источники и маршруты переноса;</w:t>
      </w:r>
    </w:p>
    <w:p>
      <w:pPr>
        <w:numPr>
          <w:ilvl w:val="0"/>
          <w:numId w:val="10"/>
        </w:numPr>
        <w:spacing w:after="80" w:line="290" w:lineRule="auto"/>
      </w:pPr>
      <w:r>
        <w:rPr>
          <w:rFonts w:ascii="Calibri" w:hAnsi="Calibri" w:eastAsia="Calibri"/>
          <w:color w:val="18212B"/>
          <w:sz w:val="22"/>
        </w:rPr>
        <w:t>прогнозировать развитие ситуации на горизонтах 6, 24 и 72 часа;</w:t>
      </w:r>
    </w:p>
    <w:p>
      <w:pPr>
        <w:numPr>
          <w:ilvl w:val="0"/>
          <w:numId w:val="10"/>
        </w:numPr>
        <w:spacing w:after="80" w:line="290" w:lineRule="auto"/>
      </w:pPr>
      <w:r>
        <w:rPr>
          <w:rFonts w:ascii="Calibri" w:hAnsi="Calibri" w:eastAsia="Calibri"/>
          <w:color w:val="18212B"/>
          <w:sz w:val="22"/>
        </w:rPr>
        <w:t>оценивать воздействие на население, растения, животных и микроорганизмы;</w:t>
      </w:r>
    </w:p>
    <w:p>
      <w:pPr>
        <w:numPr>
          <w:ilvl w:val="0"/>
          <w:numId w:val="10"/>
        </w:numPr>
        <w:spacing w:after="80" w:line="290" w:lineRule="auto"/>
      </w:pPr>
      <w:r>
        <w:rPr>
          <w:rFonts w:ascii="Calibri" w:hAnsi="Calibri" w:eastAsia="Calibri"/>
          <w:color w:val="18212B"/>
          <w:sz w:val="22"/>
        </w:rPr>
        <w:t>создавать адресные сценарии предупреждения и реагирования;</w:t>
      </w:r>
    </w:p>
    <w:p>
      <w:pPr>
        <w:numPr>
          <w:ilvl w:val="0"/>
          <w:numId w:val="10"/>
        </w:numPr>
        <w:spacing w:after="80" w:line="290" w:lineRule="auto"/>
      </w:pPr>
      <w:r>
        <w:rPr>
          <w:rFonts w:ascii="Calibri" w:hAnsi="Calibri" w:eastAsia="Calibri"/>
          <w:color w:val="18212B"/>
          <w:sz w:val="22"/>
        </w:rPr>
        <w:t>формировать паспорта воздушной среды территорий;</w:t>
      </w:r>
    </w:p>
    <w:p>
      <w:pPr>
        <w:numPr>
          <w:ilvl w:val="0"/>
          <w:numId w:val="10"/>
        </w:numPr>
        <w:spacing w:after="80" w:line="290" w:lineRule="auto"/>
      </w:pPr>
      <w:r>
        <w:rPr>
          <w:rFonts w:ascii="Calibri" w:hAnsi="Calibri" w:eastAsia="Calibri"/>
          <w:color w:val="18212B"/>
          <w:sz w:val="22"/>
        </w:rPr>
        <w:t>создавать доказательную базу ECO-PPA и проверять результат каждого вмешательства;</w:t>
      </w:r>
    </w:p>
    <w:p>
      <w:pPr>
        <w:numPr>
          <w:ilvl w:val="0"/>
          <w:numId w:val="10"/>
        </w:numPr>
        <w:spacing w:after="80" w:line="290" w:lineRule="auto"/>
      </w:pPr>
      <w:r>
        <w:rPr>
          <w:rFonts w:ascii="Calibri" w:hAnsi="Calibri" w:eastAsia="Calibri"/>
          <w:color w:val="18212B"/>
          <w:sz w:val="22"/>
        </w:rPr>
        <w:t>масштабировать решения от отдельного объекта до региона и трансграничного пространства.</w:t>
      </w:r>
    </w:p>
    <w:p>
      <w:bookmarkStart w:id="4" w:name="section_4"/>
      <w:pPr>
        <w:pStyle w:val="Heading1"/>
        <w:keepNext/>
        <w:pageBreakBefore w:val="0"/>
      </w:pPr>
      <w:r>
        <w:rPr>
          <w:rFonts w:ascii="Calibri" w:hAnsi="Calibri" w:eastAsia="Calibri"/>
          <w:b/>
          <w:color w:val="2E74B5"/>
          <w:sz w:val="32"/>
        </w:rPr>
        <w:t>4. Принципы системы</w:t>
      </w:r>
      <w:bookmarkEnd w:id="4"/>
    </w:p>
    <w:p>
      <w:pPr>
        <w:numPr>
          <w:ilvl w:val="0"/>
          <w:numId w:val="10"/>
        </w:numPr>
        <w:spacing w:after="80" w:line="290" w:lineRule="auto"/>
      </w:pPr>
      <w:r>
        <w:rPr>
          <w:rFonts w:ascii="Calibri" w:hAnsi="Calibri" w:eastAsia="Calibri"/>
          <w:b/>
          <w:color w:val="18212B"/>
          <w:sz w:val="22"/>
        </w:rPr>
        <w:t>Научная корректность:</w:t>
      </w:r>
      <w:r>
        <w:rPr>
          <w:rFonts w:ascii="Calibri" w:hAnsi="Calibri" w:eastAsia="Calibri"/>
          <w:color w:val="18212B"/>
          <w:sz w:val="22"/>
        </w:rPr>
        <w:t xml:space="preserve"> воспроизводимые методы, контроль качества, полевые и лабораторные контроли.</w:t>
      </w:r>
    </w:p>
    <w:p>
      <w:pPr>
        <w:numPr>
          <w:ilvl w:val="0"/>
          <w:numId w:val="10"/>
        </w:numPr>
        <w:spacing w:after="80" w:line="290" w:lineRule="auto"/>
      </w:pPr>
      <w:r>
        <w:rPr>
          <w:rFonts w:ascii="Calibri" w:hAnsi="Calibri" w:eastAsia="Calibri"/>
          <w:b/>
          <w:color w:val="18212B"/>
          <w:sz w:val="22"/>
        </w:rPr>
        <w:t>Предупреждение вреда:</w:t>
      </w:r>
      <w:r>
        <w:rPr>
          <w:rFonts w:ascii="Calibri" w:hAnsi="Calibri" w:eastAsia="Calibri"/>
          <w:color w:val="18212B"/>
          <w:sz w:val="22"/>
        </w:rPr>
        <w:t xml:space="preserve"> ранний сигнал ценнее запоздалой фиксации ущерба.</w:t>
      </w:r>
    </w:p>
    <w:p>
      <w:pPr>
        <w:numPr>
          <w:ilvl w:val="0"/>
          <w:numId w:val="10"/>
        </w:numPr>
        <w:spacing w:after="80" w:line="290" w:lineRule="auto"/>
      </w:pPr>
      <w:r>
        <w:rPr>
          <w:rFonts w:ascii="Calibri" w:hAnsi="Calibri" w:eastAsia="Calibri"/>
          <w:b/>
          <w:color w:val="18212B"/>
          <w:sz w:val="22"/>
        </w:rPr>
        <w:t>Многоуровневость:</w:t>
      </w:r>
      <w:r>
        <w:rPr>
          <w:rFonts w:ascii="Calibri" w:hAnsi="Calibri" w:eastAsia="Calibri"/>
          <w:color w:val="18212B"/>
          <w:sz w:val="22"/>
        </w:rPr>
        <w:t xml:space="preserve"> непрерывные датчики дополняются референтными приборами, лабораториями и дистанционными данными.</w:t>
      </w:r>
    </w:p>
    <w:p>
      <w:pPr>
        <w:numPr>
          <w:ilvl w:val="0"/>
          <w:numId w:val="10"/>
        </w:numPr>
        <w:spacing w:after="80" w:line="290" w:lineRule="auto"/>
      </w:pPr>
      <w:r>
        <w:rPr>
          <w:rFonts w:ascii="Calibri" w:hAnsi="Calibri" w:eastAsia="Calibri"/>
          <w:b/>
          <w:color w:val="18212B"/>
          <w:sz w:val="22"/>
        </w:rPr>
        <w:t>Разделение статусов:</w:t>
      </w:r>
      <w:r>
        <w:rPr>
          <w:rFonts w:ascii="Calibri" w:hAnsi="Calibri" w:eastAsia="Calibri"/>
          <w:color w:val="18212B"/>
          <w:sz w:val="22"/>
        </w:rPr>
        <w:t xml:space="preserve"> наблюдение, аналитическая гипотеза и подтверждённый вывод маркируются отдельно.</w:t>
      </w:r>
    </w:p>
    <w:p>
      <w:pPr>
        <w:numPr>
          <w:ilvl w:val="0"/>
          <w:numId w:val="10"/>
        </w:numPr>
        <w:spacing w:after="80" w:line="290" w:lineRule="auto"/>
      </w:pPr>
      <w:r>
        <w:rPr>
          <w:rFonts w:ascii="Calibri" w:hAnsi="Calibri" w:eastAsia="Calibri"/>
          <w:b/>
          <w:color w:val="18212B"/>
          <w:sz w:val="22"/>
        </w:rPr>
        <w:t>Неопределённость:</w:t>
      </w:r>
      <w:r>
        <w:rPr>
          <w:rFonts w:ascii="Calibri" w:hAnsi="Calibri" w:eastAsia="Calibri"/>
          <w:color w:val="18212B"/>
          <w:sz w:val="22"/>
        </w:rPr>
        <w:t xml:space="preserve"> рядом с прогнозом и индексом публикуется уровень доверия.</w:t>
      </w:r>
    </w:p>
    <w:p>
      <w:pPr>
        <w:numPr>
          <w:ilvl w:val="0"/>
          <w:numId w:val="10"/>
        </w:numPr>
        <w:spacing w:after="80" w:line="290" w:lineRule="auto"/>
      </w:pPr>
      <w:r>
        <w:rPr>
          <w:rFonts w:ascii="Calibri" w:hAnsi="Calibri" w:eastAsia="Calibri"/>
          <w:b/>
          <w:color w:val="18212B"/>
          <w:sz w:val="22"/>
        </w:rPr>
        <w:t>Человек в контуре:</w:t>
      </w:r>
      <w:r>
        <w:rPr>
          <w:rFonts w:ascii="Calibri" w:hAnsi="Calibri" w:eastAsia="Calibri"/>
          <w:color w:val="18212B"/>
          <w:sz w:val="22"/>
        </w:rPr>
        <w:t xml:space="preserve"> обязательные решения принимает уполномоченное лицо или орган.</w:t>
      </w:r>
    </w:p>
    <w:p>
      <w:pPr>
        <w:numPr>
          <w:ilvl w:val="0"/>
          <w:numId w:val="10"/>
        </w:numPr>
        <w:spacing w:after="80" w:line="290" w:lineRule="auto"/>
      </w:pPr>
      <w:r>
        <w:rPr>
          <w:rFonts w:ascii="Calibri" w:hAnsi="Calibri" w:eastAsia="Calibri"/>
          <w:b/>
          <w:color w:val="18212B"/>
          <w:sz w:val="22"/>
        </w:rPr>
        <w:t>Совместимость:</w:t>
      </w:r>
      <w:r>
        <w:rPr>
          <w:rFonts w:ascii="Calibri" w:hAnsi="Calibri" w:eastAsia="Calibri"/>
          <w:color w:val="18212B"/>
          <w:sz w:val="22"/>
        </w:rPr>
        <w:t xml:space="preserve"> система встраивается в действующие государственные и научные контуры.</w:t>
      </w:r>
    </w:p>
    <w:p>
      <w:pPr>
        <w:numPr>
          <w:ilvl w:val="0"/>
          <w:numId w:val="10"/>
        </w:numPr>
        <w:spacing w:after="80" w:line="290" w:lineRule="auto"/>
      </w:pPr>
      <w:r>
        <w:rPr>
          <w:rFonts w:ascii="Calibri" w:hAnsi="Calibri" w:eastAsia="Calibri"/>
          <w:b/>
          <w:color w:val="18212B"/>
          <w:sz w:val="22"/>
        </w:rPr>
        <w:t>Доказательность:</w:t>
      </w:r>
      <w:r>
        <w:rPr>
          <w:rFonts w:ascii="Calibri" w:hAnsi="Calibri" w:eastAsia="Calibri"/>
          <w:color w:val="18212B"/>
          <w:sz w:val="22"/>
        </w:rPr>
        <w:t xml:space="preserve"> каждое мероприятие связано с исходным уровнем, целью и проверкой результата.</w:t>
      </w:r>
    </w:p>
    <w:p>
      <w:pPr>
        <w:numPr>
          <w:ilvl w:val="0"/>
          <w:numId w:val="10"/>
        </w:numPr>
        <w:spacing w:after="80" w:line="290" w:lineRule="auto"/>
      </w:pPr>
      <w:r>
        <w:rPr>
          <w:rFonts w:ascii="Calibri" w:hAnsi="Calibri" w:eastAsia="Calibri"/>
          <w:b/>
          <w:color w:val="18212B"/>
          <w:sz w:val="22"/>
        </w:rPr>
        <w:t>Открытость и защита:</w:t>
      </w:r>
      <w:r>
        <w:rPr>
          <w:rFonts w:ascii="Calibri" w:hAnsi="Calibri" w:eastAsia="Calibri"/>
          <w:color w:val="18212B"/>
          <w:sz w:val="22"/>
        </w:rPr>
        <w:t xml:space="preserve"> обезличенные экологические данные открываются, чувствительные сведения защищаются.</w:t>
      </w:r>
    </w:p>
    <w:p>
      <w:pPr>
        <w:numPr>
          <w:ilvl w:val="0"/>
          <w:numId w:val="10"/>
        </w:numPr>
        <w:spacing w:after="80" w:line="290" w:lineRule="auto"/>
      </w:pPr>
      <w:r>
        <w:rPr>
          <w:rFonts w:ascii="Calibri" w:hAnsi="Calibri" w:eastAsia="Calibri"/>
          <w:b/>
          <w:color w:val="18212B"/>
          <w:sz w:val="22"/>
        </w:rPr>
        <w:t>Неподавление жизни:</w:t>
      </w:r>
      <w:r>
        <w:rPr>
          <w:rFonts w:ascii="Calibri" w:hAnsi="Calibri" w:eastAsia="Calibri"/>
          <w:color w:val="18212B"/>
          <w:sz w:val="22"/>
        </w:rPr>
        <w:t xml:space="preserve"> цель — управление опасными источниками и экспозицией, а не стерилизация наружного воздуха.</w:t>
      </w:r>
    </w:p>
    <w:p>
      <w:bookmarkStart w:id="5" w:name="section_5"/>
      <w:pPr>
        <w:pStyle w:val="Heading1"/>
        <w:keepNext/>
        <w:pageBreakBefore w:val="0"/>
      </w:pPr>
      <w:r>
        <w:rPr>
          <w:rFonts w:ascii="Calibri" w:hAnsi="Calibri" w:eastAsia="Calibri"/>
          <w:b/>
          <w:color w:val="2E74B5"/>
          <w:sz w:val="32"/>
        </w:rPr>
        <w:t>5. Объект и границы наблюдения</w:t>
      </w:r>
      <w:bookmarkEnd w:id="5"/>
    </w:p>
    <w:p>
      <w:pPr>
        <w:spacing w:after="160" w:line="320" w:lineRule="auto"/>
        <w:jc w:val="both"/>
      </w:pPr>
      <w:r>
        <w:rPr>
          <w:rFonts w:ascii="Calibri" w:hAnsi="Calibri" w:eastAsia="Calibri"/>
          <w:color w:val="18212B"/>
          <w:sz w:val="22"/>
        </w:rPr>
        <w:t>Основной объект — приземный слой атмосферы и циркулирующие в нём физические, химические и биологические компоненты, связанные с конкретной территорией, источниками и рецепторами воздействия. Каждая программа задаёт географическую границу, высотный диапазон, сезон, период наблюдения и класс рецепторов.</w:t>
      </w:r>
    </w:p>
    <w:p>
      <w:pPr>
        <w:pStyle w:val="Heading2"/>
        <w:keepNext/>
      </w:pPr>
      <w:r>
        <w:rPr>
          <w:rFonts w:ascii="Calibri" w:hAnsi="Calibri" w:eastAsia="Calibri"/>
          <w:b/>
          <w:color w:val="2E74B5"/>
          <w:sz w:val="26"/>
        </w:rPr>
        <w:t>Пространственные уровни</w:t>
      </w:r>
    </w:p>
    <w:p>
      <w:pPr>
        <w:numPr>
          <w:ilvl w:val="0"/>
          <w:numId w:val="15"/>
        </w:numPr>
        <w:spacing w:after="80" w:line="290" w:lineRule="auto"/>
      </w:pPr>
      <w:r>
        <w:rPr>
          <w:rFonts w:ascii="Calibri" w:hAnsi="Calibri" w:eastAsia="Calibri"/>
          <w:color w:val="18212B"/>
          <w:sz w:val="22"/>
        </w:rPr>
        <w:t>Точка: школа, больница, жилой двор, рабочее место или предприятие.</w:t>
      </w:r>
    </w:p>
    <w:p>
      <w:pPr>
        <w:numPr>
          <w:ilvl w:val="0"/>
          <w:numId w:val="15"/>
        </w:numPr>
        <w:spacing w:after="80" w:line="290" w:lineRule="auto"/>
      </w:pPr>
      <w:r>
        <w:rPr>
          <w:rFonts w:ascii="Calibri" w:hAnsi="Calibri" w:eastAsia="Calibri"/>
          <w:color w:val="18212B"/>
          <w:sz w:val="22"/>
        </w:rPr>
        <w:t>Микрозона: квартал, промышленная площадка, парк или сельскохозяйственный объект.</w:t>
      </w:r>
    </w:p>
    <w:p>
      <w:pPr>
        <w:numPr>
          <w:ilvl w:val="0"/>
          <w:numId w:val="15"/>
        </w:numPr>
        <w:spacing w:after="80" w:line="290" w:lineRule="auto"/>
      </w:pPr>
      <w:r>
        <w:rPr>
          <w:rFonts w:ascii="Calibri" w:hAnsi="Calibri" w:eastAsia="Calibri"/>
          <w:color w:val="18212B"/>
          <w:sz w:val="22"/>
        </w:rPr>
        <w:t>Муниципальная территория: город или район.</w:t>
      </w:r>
    </w:p>
    <w:p>
      <w:pPr>
        <w:numPr>
          <w:ilvl w:val="0"/>
          <w:numId w:val="15"/>
        </w:numPr>
        <w:spacing w:after="80" w:line="290" w:lineRule="auto"/>
      </w:pPr>
      <w:r>
        <w:rPr>
          <w:rFonts w:ascii="Calibri" w:hAnsi="Calibri" w:eastAsia="Calibri"/>
          <w:color w:val="18212B"/>
          <w:sz w:val="22"/>
        </w:rPr>
        <w:t>Воздушный бассейн: территория, связанная общими потоками воздуха.</w:t>
      </w:r>
    </w:p>
    <w:p>
      <w:pPr>
        <w:numPr>
          <w:ilvl w:val="0"/>
          <w:numId w:val="15"/>
        </w:numPr>
        <w:spacing w:after="80" w:line="290" w:lineRule="auto"/>
      </w:pPr>
      <w:r>
        <w:rPr>
          <w:rFonts w:ascii="Calibri" w:hAnsi="Calibri" w:eastAsia="Calibri"/>
          <w:color w:val="18212B"/>
          <w:sz w:val="22"/>
        </w:rPr>
        <w:t>Региональная сеть: муниципальные, промышленные и фоновые точки.</w:t>
      </w:r>
    </w:p>
    <w:p>
      <w:pPr>
        <w:numPr>
          <w:ilvl w:val="0"/>
          <w:numId w:val="15"/>
        </w:numPr>
        <w:spacing w:after="80" w:line="290" w:lineRule="auto"/>
      </w:pPr>
      <w:r>
        <w:rPr>
          <w:rFonts w:ascii="Calibri" w:hAnsi="Calibri" w:eastAsia="Calibri"/>
          <w:color w:val="18212B"/>
          <w:sz w:val="22"/>
        </w:rPr>
        <w:t>Межрегиональный и трансграничный уровень: дальний перенос дыма, пыли, аллергенов и загрязняющих веществ.</w:t>
      </w:r>
    </w:p>
    <w:p>
      <w:pPr>
        <w:pStyle w:val="Heading2"/>
        <w:keepNext/>
      </w:pPr>
      <w:r>
        <w:rPr>
          <w:rFonts w:ascii="Calibri" w:hAnsi="Calibri" w:eastAsia="Calibri"/>
          <w:b/>
          <w:color w:val="2E74B5"/>
          <w:sz w:val="26"/>
        </w:rPr>
        <w:t>Функциональные границы</w:t>
      </w:r>
    </w:p>
    <w:p>
      <w:pPr>
        <w:spacing w:after="160" w:line="320" w:lineRule="auto"/>
        <w:jc w:val="both"/>
      </w:pPr>
      <w:r>
        <w:rPr>
          <w:rFonts w:ascii="Calibri" w:hAnsi="Calibri" w:eastAsia="Calibri"/>
          <w:color w:val="18212B"/>
          <w:sz w:val="22"/>
        </w:rPr>
        <w:t>Наружный воздух, воздух помещений и зона дыхания человека не смешиваются в одном массиве без маркировки. Внутренняя среда учитывается как сопряжённый модуль, поскольку источники, нормативы и способы управления отличаются. Система не подменяет клиническую диагностику, эпидемиологическое расследование и официальные полномочия органов власти.</w:t>
      </w:r>
    </w:p>
    <w:p>
      <w:bookmarkStart w:id="6" w:name="section_6"/>
      <w:pPr>
        <w:pStyle w:val="Heading1"/>
        <w:keepNext/>
        <w:pageBreakBefore w:val="0"/>
      </w:pPr>
      <w:r>
        <w:rPr>
          <w:rFonts w:ascii="Calibri" w:hAnsi="Calibri" w:eastAsia="Calibri"/>
          <w:b/>
          <w:color w:val="2E74B5"/>
          <w:sz w:val="32"/>
        </w:rPr>
        <w:t>6. Контур наблюдения</w:t>
      </w:r>
      <w:bookmarkEnd w:id="6"/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jc w:val="left"/>
        <w:tblInd w:w="120" w:type="dxa"/>
      </w:tblPr>
      <w:tblGrid>
        <w:gridCol w:w="1850"/>
        <w:gridCol w:w="4100"/>
        <w:gridCol w:w="3410"/>
      </w:tblGrid>
      <w:tr>
        <w:trPr>
          <w:tblHeader w:val="true"/>
        </w:trPr>
        <w:tc>
          <w:tcPr>
            <w:tcW w:type="dxa" w:w="18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0B2545"/>
          </w:tcPr>
          <w:p>
            <w:pPr>
              <w:spacing w:after="0" w:line="252" w:lineRule="auto"/>
              <w:jc w:val="center"/>
            </w:pPr>
            <w:r>
              <w:rPr>
                <w:rFonts w:ascii="Calibri" w:hAnsi="Calibri" w:eastAsia="Calibri"/>
                <w:b/>
                <w:color w:val="FFFFFF"/>
                <w:sz w:val="18"/>
              </w:rPr>
              <w:t>Уровень</w:t>
            </w:r>
          </w:p>
        </w:tc>
        <w:tc>
          <w:tcPr>
            <w:tcW w:type="dxa" w:w="41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0B2545"/>
          </w:tcPr>
          <w:p>
            <w:pPr>
              <w:spacing w:after="0" w:line="252" w:lineRule="auto"/>
              <w:jc w:val="center"/>
            </w:pPr>
            <w:r>
              <w:rPr>
                <w:rFonts w:ascii="Calibri" w:hAnsi="Calibri" w:eastAsia="Calibri"/>
                <w:b/>
                <w:color w:val="FFFFFF"/>
                <w:sz w:val="18"/>
              </w:rPr>
              <w:t>Что наблюдается</w:t>
            </w:r>
          </w:p>
        </w:tc>
        <w:tc>
          <w:tcPr>
            <w:tcW w:type="dxa" w:w="341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0B2545"/>
          </w:tcPr>
          <w:p>
            <w:pPr>
              <w:spacing w:after="0" w:line="252" w:lineRule="auto"/>
              <w:jc w:val="center"/>
            </w:pPr>
            <w:r>
              <w:rPr>
                <w:rFonts w:ascii="Calibri" w:hAnsi="Calibri" w:eastAsia="Calibri"/>
                <w:b/>
                <w:color w:val="FFFFFF"/>
                <w:sz w:val="18"/>
              </w:rPr>
              <w:t>Управленческий результат</w:t>
            </w:r>
          </w:p>
        </w:tc>
      </w:tr>
      <w:tr>
        <w:tc>
          <w:tcPr>
            <w:tcW w:type="dxa" w:w="18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>
              <w:rPr>
                <w:rFonts w:ascii="Calibri" w:hAnsi="Calibri" w:eastAsia="Calibri"/>
                <w:b/>
                <w:color w:val="18212B"/>
                <w:sz w:val="17"/>
              </w:rPr>
              <w:t>0. Контекст</w:t>
            </w:r>
          </w:p>
        </w:tc>
        <w:tc>
          <w:tcPr>
            <w:tcW w:type="dxa" w:w="41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>
              <w:rPr>
                <w:rFonts w:ascii="Calibri" w:hAnsi="Calibri" w:eastAsia="Calibri"/>
                <w:b w:val="0"/>
                <w:color w:val="18212B"/>
                <w:sz w:val="17"/>
              </w:rPr>
              <w:t>Рельеф, землепользование, население, источники, пожары</w:t>
            </w:r>
          </w:p>
        </w:tc>
        <w:tc>
          <w:tcPr>
            <w:tcW w:type="dxa" w:w="341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>
              <w:rPr>
                <w:rFonts w:ascii="Calibri" w:hAnsi="Calibri" w:eastAsia="Calibri"/>
                <w:b w:val="0"/>
                <w:color w:val="18212B"/>
                <w:sz w:val="17"/>
              </w:rPr>
              <w:t>Карта источников и рецепторов</w:t>
            </w:r>
          </w:p>
        </w:tc>
      </w:tr>
      <w:tr>
        <w:tc>
          <w:tcPr>
            <w:tcW w:type="dxa" w:w="18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7FAFC"/>
          </w:tcPr>
          <w:p>
            <w:pPr>
              <w:spacing w:before="0" w:after="0" w:line="252" w:lineRule="auto"/>
              <w:jc w:val="left"/>
            </w:pPr>
            <w:r>
              <w:rPr>
                <w:rFonts w:ascii="Calibri" w:hAnsi="Calibri" w:eastAsia="Calibri"/>
                <w:b/>
                <w:color w:val="18212B"/>
                <w:sz w:val="17"/>
              </w:rPr>
              <w:t>1. Физика</w:t>
            </w:r>
          </w:p>
        </w:tc>
        <w:tc>
          <w:tcPr>
            <w:tcW w:type="dxa" w:w="41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7FAFC"/>
          </w:tcPr>
          <w:p>
            <w:pPr>
              <w:spacing w:before="0" w:after="0" w:line="252" w:lineRule="auto"/>
              <w:jc w:val="left"/>
            </w:pPr>
            <w:r>
              <w:rPr>
                <w:rFonts w:ascii="Calibri" w:hAnsi="Calibri" w:eastAsia="Calibri"/>
                <w:b w:val="0"/>
                <w:color w:val="18212B"/>
                <w:sz w:val="17"/>
              </w:rPr>
              <w:t>Температура, влажность, давление, ветер, осадки, радиация</w:t>
            </w:r>
          </w:p>
        </w:tc>
        <w:tc>
          <w:tcPr>
            <w:tcW w:type="dxa" w:w="341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7FAFC"/>
          </w:tcPr>
          <w:p>
            <w:pPr>
              <w:spacing w:before="0" w:after="0" w:line="252" w:lineRule="auto"/>
              <w:jc w:val="left"/>
            </w:pPr>
            <w:r>
              <w:rPr>
                <w:rFonts w:ascii="Calibri" w:hAnsi="Calibri" w:eastAsia="Calibri"/>
                <w:b w:val="0"/>
                <w:color w:val="18212B"/>
                <w:sz w:val="17"/>
              </w:rPr>
              <w:t>Условия переноса и рассеивания</w:t>
            </w:r>
          </w:p>
        </w:tc>
      </w:tr>
      <w:tr>
        <w:tc>
          <w:tcPr>
            <w:tcW w:type="dxa" w:w="18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>
              <w:rPr>
                <w:rFonts w:ascii="Calibri" w:hAnsi="Calibri" w:eastAsia="Calibri"/>
                <w:b/>
                <w:color w:val="18212B"/>
                <w:sz w:val="17"/>
              </w:rPr>
              <w:t>2. Аэрозоль</w:t>
            </w:r>
          </w:p>
        </w:tc>
        <w:tc>
          <w:tcPr>
            <w:tcW w:type="dxa" w:w="41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>
              <w:rPr>
                <w:rFonts w:ascii="Calibri" w:hAnsi="Calibri" w:eastAsia="Calibri"/>
                <w:b w:val="0"/>
                <w:color w:val="18212B"/>
                <w:sz w:val="17"/>
              </w:rPr>
              <w:t>PM1, PM2.5, PM10, число и размер частиц, чёрный углерод</w:t>
            </w:r>
          </w:p>
        </w:tc>
        <w:tc>
          <w:tcPr>
            <w:tcW w:type="dxa" w:w="341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>
              <w:rPr>
                <w:rFonts w:ascii="Calibri" w:hAnsi="Calibri" w:eastAsia="Calibri"/>
                <w:b w:val="0"/>
                <w:color w:val="18212B"/>
                <w:sz w:val="17"/>
              </w:rPr>
              <w:t>Интенсивность и тип эпизода</w:t>
            </w:r>
          </w:p>
        </w:tc>
      </w:tr>
      <w:tr>
        <w:tc>
          <w:tcPr>
            <w:tcW w:type="dxa" w:w="18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7FAFC"/>
          </w:tcPr>
          <w:p>
            <w:pPr>
              <w:spacing w:before="0" w:after="0" w:line="252" w:lineRule="auto"/>
              <w:jc w:val="left"/>
            </w:pPr>
            <w:r>
              <w:rPr>
                <w:rFonts w:ascii="Calibri" w:hAnsi="Calibri" w:eastAsia="Calibri"/>
                <w:b/>
                <w:color w:val="18212B"/>
                <w:sz w:val="17"/>
              </w:rPr>
              <w:t>3. Химия</w:t>
            </w:r>
          </w:p>
        </w:tc>
        <w:tc>
          <w:tcPr>
            <w:tcW w:type="dxa" w:w="41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7FAFC"/>
          </w:tcPr>
          <w:p>
            <w:pPr>
              <w:spacing w:before="0" w:after="0" w:line="252" w:lineRule="auto"/>
              <w:jc w:val="left"/>
            </w:pPr>
            <w:r>
              <w:rPr>
                <w:rFonts w:ascii="Calibri" w:hAnsi="Calibri" w:eastAsia="Calibri"/>
                <w:b w:val="0"/>
                <w:color w:val="18212B"/>
                <w:sz w:val="17"/>
              </w:rPr>
              <w:t>NO₂/NOx, SO₂, CO, O₃, NH₃, ЛОС и маркеры источников</w:t>
            </w:r>
          </w:p>
        </w:tc>
        <w:tc>
          <w:tcPr>
            <w:tcW w:type="dxa" w:w="341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7FAFC"/>
          </w:tcPr>
          <w:p>
            <w:pPr>
              <w:spacing w:before="0" w:after="0" w:line="252" w:lineRule="auto"/>
              <w:jc w:val="left"/>
            </w:pPr>
            <w:r>
              <w:rPr>
                <w:rFonts w:ascii="Calibri" w:hAnsi="Calibri" w:eastAsia="Calibri"/>
                <w:b w:val="0"/>
                <w:color w:val="18212B"/>
                <w:sz w:val="17"/>
              </w:rPr>
              <w:t>Профиль загрязнения</w:t>
            </w:r>
          </w:p>
        </w:tc>
      </w:tr>
      <w:tr>
        <w:tc>
          <w:tcPr>
            <w:tcW w:type="dxa" w:w="18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>
              <w:rPr>
                <w:rFonts w:ascii="Calibri" w:hAnsi="Calibri" w:eastAsia="Calibri"/>
                <w:b/>
                <w:color w:val="18212B"/>
                <w:sz w:val="17"/>
              </w:rPr>
              <w:t>4. Биология</w:t>
            </w:r>
          </w:p>
        </w:tc>
        <w:tc>
          <w:tcPr>
            <w:tcW w:type="dxa" w:w="41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>
              <w:rPr>
                <w:rFonts w:ascii="Calibri" w:hAnsi="Calibri" w:eastAsia="Calibri"/>
                <w:b w:val="0"/>
                <w:color w:val="18212B"/>
                <w:sz w:val="17"/>
              </w:rPr>
              <w:t>Пыльца, споры, бактерии, грибы, аллергены, эндотоксины</w:t>
            </w:r>
          </w:p>
        </w:tc>
        <w:tc>
          <w:tcPr>
            <w:tcW w:type="dxa" w:w="341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>
              <w:rPr>
                <w:rFonts w:ascii="Calibri" w:hAnsi="Calibri" w:eastAsia="Calibri"/>
                <w:b w:val="0"/>
                <w:color w:val="18212B"/>
                <w:sz w:val="17"/>
              </w:rPr>
              <w:t>Аэробиом и биологическая нагрузка</w:t>
            </w:r>
          </w:p>
        </w:tc>
      </w:tr>
      <w:tr>
        <w:tc>
          <w:tcPr>
            <w:tcW w:type="dxa" w:w="18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7FAFC"/>
          </w:tcPr>
          <w:p>
            <w:pPr>
              <w:spacing w:before="0" w:after="0" w:line="252" w:lineRule="auto"/>
              <w:jc w:val="left"/>
            </w:pPr>
            <w:r>
              <w:rPr>
                <w:rFonts w:ascii="Calibri" w:hAnsi="Calibri" w:eastAsia="Calibri"/>
                <w:b/>
                <w:color w:val="18212B"/>
                <w:sz w:val="17"/>
              </w:rPr>
              <w:t>5. Экосистемы</w:t>
            </w:r>
          </w:p>
        </w:tc>
        <w:tc>
          <w:tcPr>
            <w:tcW w:type="dxa" w:w="41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7FAFC"/>
          </w:tcPr>
          <w:p>
            <w:pPr>
              <w:spacing w:before="0" w:after="0" w:line="252" w:lineRule="auto"/>
              <w:jc w:val="left"/>
            </w:pPr>
            <w:r>
              <w:rPr>
                <w:rFonts w:ascii="Calibri" w:hAnsi="Calibri" w:eastAsia="Calibri"/>
                <w:b w:val="0"/>
                <w:color w:val="18212B"/>
                <w:sz w:val="17"/>
              </w:rPr>
              <w:t>Осаждение, состояние растений, фенология, биоиндикаторы</w:t>
            </w:r>
          </w:p>
        </w:tc>
        <w:tc>
          <w:tcPr>
            <w:tcW w:type="dxa" w:w="341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7FAFC"/>
          </w:tcPr>
          <w:p>
            <w:pPr>
              <w:spacing w:before="0" w:after="0" w:line="252" w:lineRule="auto"/>
              <w:jc w:val="left"/>
            </w:pPr>
            <w:r>
              <w:rPr>
                <w:rFonts w:ascii="Calibri" w:hAnsi="Calibri" w:eastAsia="Calibri"/>
                <w:b w:val="0"/>
                <w:color w:val="18212B"/>
                <w:sz w:val="17"/>
              </w:rPr>
              <w:t>Экологический эффект</w:t>
            </w:r>
          </w:p>
        </w:tc>
      </w:tr>
      <w:tr>
        <w:tc>
          <w:tcPr>
            <w:tcW w:type="dxa" w:w="18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>
              <w:rPr>
                <w:rFonts w:ascii="Calibri" w:hAnsi="Calibri" w:eastAsia="Calibri"/>
                <w:b/>
                <w:color w:val="18212B"/>
                <w:sz w:val="17"/>
              </w:rPr>
              <w:t>6. Экспозиция</w:t>
            </w:r>
          </w:p>
        </w:tc>
        <w:tc>
          <w:tcPr>
            <w:tcW w:type="dxa" w:w="41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>
              <w:rPr>
                <w:rFonts w:ascii="Calibri" w:hAnsi="Calibri" w:eastAsia="Calibri"/>
                <w:b w:val="0"/>
                <w:color w:val="18212B"/>
                <w:sz w:val="17"/>
              </w:rPr>
              <w:t>Население, время воздействия, чувствительные объекты</w:t>
            </w:r>
          </w:p>
        </w:tc>
        <w:tc>
          <w:tcPr>
            <w:tcW w:type="dxa" w:w="341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>
              <w:rPr>
                <w:rFonts w:ascii="Calibri" w:hAnsi="Calibri" w:eastAsia="Calibri"/>
                <w:b w:val="0"/>
                <w:color w:val="18212B"/>
                <w:sz w:val="17"/>
              </w:rPr>
              <w:t>Карта уязвимости</w:t>
            </w:r>
          </w:p>
        </w:tc>
      </w:tr>
      <w:tr>
        <w:tc>
          <w:tcPr>
            <w:tcW w:type="dxa" w:w="18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7FAFC"/>
          </w:tcPr>
          <w:p>
            <w:pPr>
              <w:spacing w:before="0" w:after="0" w:line="252" w:lineRule="auto"/>
              <w:jc w:val="left"/>
            </w:pPr>
            <w:r>
              <w:rPr>
                <w:rFonts w:ascii="Calibri" w:hAnsi="Calibri" w:eastAsia="Calibri"/>
                <w:b/>
                <w:color w:val="18212B"/>
                <w:sz w:val="17"/>
              </w:rPr>
              <w:t>7. Управление</w:t>
            </w:r>
          </w:p>
        </w:tc>
        <w:tc>
          <w:tcPr>
            <w:tcW w:type="dxa" w:w="41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7FAFC"/>
          </w:tcPr>
          <w:p>
            <w:pPr>
              <w:spacing w:before="0" w:after="0" w:line="252" w:lineRule="auto"/>
              <w:jc w:val="left"/>
            </w:pPr>
            <w:r>
              <w:rPr>
                <w:rFonts w:ascii="Calibri" w:hAnsi="Calibri" w:eastAsia="Calibri"/>
                <w:b w:val="0"/>
                <w:color w:val="18212B"/>
                <w:sz w:val="17"/>
              </w:rPr>
              <w:t>События, решения, сроки, меры, остаточный риск</w:t>
            </w:r>
          </w:p>
        </w:tc>
        <w:tc>
          <w:tcPr>
            <w:tcW w:type="dxa" w:w="341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7FAFC"/>
          </w:tcPr>
          <w:p>
            <w:pPr>
              <w:spacing w:before="0" w:after="0" w:line="252" w:lineRule="auto"/>
              <w:jc w:val="left"/>
            </w:pPr>
            <w:r>
              <w:rPr>
                <w:rFonts w:ascii="Calibri" w:hAnsi="Calibri" w:eastAsia="Calibri"/>
                <w:b w:val="0"/>
                <w:color w:val="18212B"/>
                <w:sz w:val="17"/>
              </w:rPr>
              <w:t>Доказательство результата</w:t>
            </w:r>
          </w:p>
        </w:tc>
      </w:tr>
    </w:tbl>
    <w:p>
      <w:pPr>
        <w:spacing w:after="40"/>
      </w:pP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c>
          <w:tcPr>
            <w:tcW w:type="dxa" w:w="93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EEF6F2"/>
          </w:tcPr>
          <w:p>
            <w:pPr>
              <w:spacing w:before="60" w:after="60" w:line="276" w:lineRule="auto"/>
            </w:pPr>
            <w:r>
              <w:rPr>
                <w:rFonts w:ascii="Calibri" w:hAnsi="Calibri" w:eastAsia="Calibri"/>
                <w:b/>
                <w:color w:val="4E8B73"/>
                <w:sz w:val="19"/>
              </w:rPr>
              <w:t xml:space="preserve">ONE HEALTH  </w:t>
            </w:r>
            <w:r>
              <w:rPr>
                <w:rFonts w:ascii="Calibri" w:hAnsi="Calibri" w:eastAsia="Calibri"/>
                <w:color w:val="18212B"/>
                <w:sz w:val="21"/>
              </w:rPr>
              <w:t>Оценка связывает здоровье человека, животных, растений и окружающей среды, сохраняя отдельные методы и полномочия каждого контура [13].</w:t>
            </w:r>
          </w:p>
        </w:tc>
      </w:tr>
    </w:tbl>
    <w:p>
      <w:pPr>
        <w:spacing w:after="20"/>
      </w:pPr>
    </w:p>
    <w:p>
      <w:bookmarkStart w:id="7" w:name="section_7"/>
      <w:pPr>
        <w:pStyle w:val="Heading1"/>
        <w:keepNext/>
        <w:pageBreakBefore w:val="0"/>
      </w:pPr>
      <w:r>
        <w:rPr>
          <w:rFonts w:ascii="Calibri" w:hAnsi="Calibri" w:eastAsia="Calibri"/>
          <w:b/>
          <w:color w:val="2E74B5"/>
          <w:sz w:val="32"/>
        </w:rPr>
        <w:t>7. Показатели и нормативные ориентиры</w:t>
      </w:r>
      <w:bookmarkEnd w:id="7"/>
    </w:p>
    <w:p>
      <w:pPr>
        <w:pStyle w:val="Heading2"/>
        <w:keepNext/>
      </w:pPr>
      <w:r>
        <w:rPr>
          <w:rFonts w:ascii="Calibri" w:hAnsi="Calibri" w:eastAsia="Calibri"/>
          <w:b/>
          <w:color w:val="2E74B5"/>
          <w:sz w:val="26"/>
        </w:rPr>
        <w:t>7.1. Базовая система показателей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jc w:val="left"/>
        <w:tblInd w:w="120" w:type="dxa"/>
      </w:tblPr>
      <w:tblGrid>
        <w:gridCol w:w="1800"/>
        <w:gridCol w:w="3550"/>
        <w:gridCol w:w="4010"/>
      </w:tblGrid>
      <w:tr>
        <w:trPr>
          <w:tblHeader w:val="true"/>
        </w:trPr>
        <w:tc>
          <w:tcPr>
            <w:tcW w:type="dxa" w:w="18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0B2545"/>
          </w:tcPr>
          <w:p>
            <w:pPr>
              <w:spacing w:after="0" w:line="252" w:lineRule="auto"/>
              <w:jc w:val="center"/>
            </w:pPr>
            <w:r>
              <w:rPr>
                <w:rFonts w:ascii="Calibri" w:hAnsi="Calibri" w:eastAsia="Calibri"/>
                <w:b/>
                <w:color w:val="FFFFFF"/>
                <w:sz w:val="18"/>
              </w:rPr>
              <w:t>Блок</w:t>
            </w:r>
          </w:p>
        </w:tc>
        <w:tc>
          <w:tcPr>
            <w:tcW w:type="dxa" w:w="35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0B2545"/>
          </w:tcPr>
          <w:p>
            <w:pPr>
              <w:spacing w:after="0" w:line="252" w:lineRule="auto"/>
              <w:jc w:val="center"/>
            </w:pPr>
            <w:r>
              <w:rPr>
                <w:rFonts w:ascii="Calibri" w:hAnsi="Calibri" w:eastAsia="Calibri"/>
                <w:b/>
                <w:color w:val="FFFFFF"/>
                <w:sz w:val="18"/>
              </w:rPr>
              <w:t>Базовые показатели</w:t>
            </w:r>
          </w:p>
        </w:tc>
        <w:tc>
          <w:tcPr>
            <w:tcW w:type="dxa" w:w="401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0B2545"/>
          </w:tcPr>
          <w:p>
            <w:pPr>
              <w:spacing w:after="0" w:line="252" w:lineRule="auto"/>
              <w:jc w:val="center"/>
            </w:pPr>
            <w:r>
              <w:rPr>
                <w:rFonts w:ascii="Calibri" w:hAnsi="Calibri" w:eastAsia="Calibri"/>
                <w:b/>
                <w:color w:val="FFFFFF"/>
                <w:sz w:val="18"/>
              </w:rPr>
              <w:t>Расширенные показатели</w:t>
            </w:r>
          </w:p>
        </w:tc>
      </w:tr>
      <w:tr>
        <w:tc>
          <w:tcPr>
            <w:tcW w:type="dxa" w:w="18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>
              <w:rPr>
                <w:rFonts w:ascii="Calibri" w:hAnsi="Calibri" w:eastAsia="Calibri"/>
                <w:b/>
                <w:color w:val="18212B"/>
                <w:sz w:val="17"/>
              </w:rPr>
              <w:t>Метеорология</w:t>
            </w:r>
          </w:p>
        </w:tc>
        <w:tc>
          <w:tcPr>
            <w:tcW w:type="dxa" w:w="35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>
              <w:rPr>
                <w:rFonts w:ascii="Calibri" w:hAnsi="Calibri" w:eastAsia="Calibri"/>
                <w:b w:val="0"/>
                <w:color w:val="18212B"/>
                <w:sz w:val="17"/>
              </w:rPr>
              <w:t>Температура, влажность, давление, ветер, осадки</w:t>
            </w:r>
          </w:p>
        </w:tc>
        <w:tc>
          <w:tcPr>
            <w:tcW w:type="dxa" w:w="401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>
              <w:rPr>
                <w:rFonts w:ascii="Calibri" w:hAnsi="Calibri" w:eastAsia="Calibri"/>
                <w:b w:val="0"/>
                <w:color w:val="18212B"/>
                <w:sz w:val="17"/>
              </w:rPr>
              <w:t>Радиация, турбулентность, высота перемешивания</w:t>
            </w:r>
          </w:p>
        </w:tc>
      </w:tr>
      <w:tr>
        <w:tc>
          <w:tcPr>
            <w:tcW w:type="dxa" w:w="18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7FAFC"/>
          </w:tcPr>
          <w:p>
            <w:pPr>
              <w:spacing w:before="0" w:after="0" w:line="252" w:lineRule="auto"/>
              <w:jc w:val="left"/>
            </w:pPr>
            <w:r>
              <w:rPr>
                <w:rFonts w:ascii="Calibri" w:hAnsi="Calibri" w:eastAsia="Calibri"/>
                <w:b/>
                <w:color w:val="18212B"/>
                <w:sz w:val="17"/>
              </w:rPr>
              <w:t>Аэрозоль</w:t>
            </w:r>
          </w:p>
        </w:tc>
        <w:tc>
          <w:tcPr>
            <w:tcW w:type="dxa" w:w="35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7FAFC"/>
          </w:tcPr>
          <w:p>
            <w:pPr>
              <w:spacing w:before="0" w:after="0" w:line="252" w:lineRule="auto"/>
              <w:jc w:val="left"/>
            </w:pPr>
            <w:r>
              <w:rPr>
                <w:rFonts w:ascii="Calibri" w:hAnsi="Calibri" w:eastAsia="Calibri"/>
                <w:b w:val="0"/>
                <w:color w:val="18212B"/>
                <w:sz w:val="17"/>
              </w:rPr>
              <w:t>PM1, PM2.5, PM10</w:t>
            </w:r>
          </w:p>
        </w:tc>
        <w:tc>
          <w:tcPr>
            <w:tcW w:type="dxa" w:w="401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7FAFC"/>
          </w:tcPr>
          <w:p>
            <w:pPr>
              <w:spacing w:before="0" w:after="0" w:line="252" w:lineRule="auto"/>
              <w:jc w:val="left"/>
            </w:pPr>
            <w:r>
              <w:rPr>
                <w:rFonts w:ascii="Calibri" w:hAnsi="Calibri" w:eastAsia="Calibri"/>
                <w:b w:val="0"/>
                <w:color w:val="18212B"/>
                <w:sz w:val="17"/>
              </w:rPr>
              <w:t>Ультрамелкие частицы, размеры, чёрный углерод</w:t>
            </w:r>
          </w:p>
        </w:tc>
      </w:tr>
      <w:tr>
        <w:tc>
          <w:tcPr>
            <w:tcW w:type="dxa" w:w="18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>
              <w:rPr>
                <w:rFonts w:ascii="Calibri" w:hAnsi="Calibri" w:eastAsia="Calibri"/>
                <w:b/>
                <w:color w:val="18212B"/>
                <w:sz w:val="17"/>
              </w:rPr>
              <w:t>Газы</w:t>
            </w:r>
          </w:p>
        </w:tc>
        <w:tc>
          <w:tcPr>
            <w:tcW w:type="dxa" w:w="35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>
              <w:rPr>
                <w:rFonts w:ascii="Calibri" w:hAnsi="Calibri" w:eastAsia="Calibri"/>
                <w:b w:val="0"/>
                <w:color w:val="18212B"/>
                <w:sz w:val="17"/>
              </w:rPr>
              <w:t>NO₂/NOx, SO₂, CO, O₃, NH₃</w:t>
            </w:r>
          </w:p>
        </w:tc>
        <w:tc>
          <w:tcPr>
            <w:tcW w:type="dxa" w:w="401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>
              <w:rPr>
                <w:rFonts w:ascii="Calibri" w:hAnsi="Calibri" w:eastAsia="Calibri"/>
                <w:b w:val="0"/>
                <w:color w:val="18212B"/>
                <w:sz w:val="17"/>
              </w:rPr>
              <w:t>ЛОС и профильные вещества</w:t>
            </w:r>
          </w:p>
        </w:tc>
      </w:tr>
      <w:tr>
        <w:tc>
          <w:tcPr>
            <w:tcW w:type="dxa" w:w="18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7FAFC"/>
          </w:tcPr>
          <w:p>
            <w:pPr>
              <w:spacing w:before="0" w:after="0" w:line="252" w:lineRule="auto"/>
              <w:jc w:val="left"/>
            </w:pPr>
            <w:r>
              <w:rPr>
                <w:rFonts w:ascii="Calibri" w:hAnsi="Calibri" w:eastAsia="Calibri"/>
                <w:b/>
                <w:color w:val="18212B"/>
                <w:sz w:val="17"/>
              </w:rPr>
              <w:t>Аэробиота</w:t>
            </w:r>
          </w:p>
        </w:tc>
        <w:tc>
          <w:tcPr>
            <w:tcW w:type="dxa" w:w="35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7FAFC"/>
          </w:tcPr>
          <w:p>
            <w:pPr>
              <w:spacing w:before="0" w:after="0" w:line="252" w:lineRule="auto"/>
              <w:jc w:val="left"/>
            </w:pPr>
            <w:r>
              <w:rPr>
                <w:rFonts w:ascii="Calibri" w:hAnsi="Calibri" w:eastAsia="Calibri"/>
                <w:b w:val="0"/>
                <w:color w:val="18212B"/>
                <w:sz w:val="17"/>
              </w:rPr>
              <w:t>Пыльца, споры, общая биологическая нагрузка</w:t>
            </w:r>
          </w:p>
        </w:tc>
        <w:tc>
          <w:tcPr>
            <w:tcW w:type="dxa" w:w="401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7FAFC"/>
          </w:tcPr>
          <w:p>
            <w:pPr>
              <w:spacing w:before="0" w:after="0" w:line="252" w:lineRule="auto"/>
              <w:jc w:val="left"/>
            </w:pPr>
            <w:r>
              <w:rPr>
                <w:rFonts w:ascii="Calibri" w:hAnsi="Calibri" w:eastAsia="Calibri"/>
                <w:b w:val="0"/>
                <w:color w:val="18212B"/>
                <w:sz w:val="17"/>
              </w:rPr>
              <w:t>Бактерии, грибы, метагеномика, целевые маркеры</w:t>
            </w:r>
          </w:p>
        </w:tc>
      </w:tr>
      <w:tr>
        <w:tc>
          <w:tcPr>
            <w:tcW w:type="dxa" w:w="18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>
              <w:rPr>
                <w:rFonts w:ascii="Calibri" w:hAnsi="Calibri" w:eastAsia="Calibri"/>
                <w:b/>
                <w:color w:val="18212B"/>
                <w:sz w:val="17"/>
              </w:rPr>
              <w:t>Биориск</w:t>
            </w:r>
          </w:p>
        </w:tc>
        <w:tc>
          <w:tcPr>
            <w:tcW w:type="dxa" w:w="35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>
              <w:rPr>
                <w:rFonts w:ascii="Calibri" w:hAnsi="Calibri" w:eastAsia="Calibri"/>
                <w:b w:val="0"/>
                <w:color w:val="18212B"/>
                <w:sz w:val="17"/>
              </w:rPr>
              <w:t>Аллергены, эндотоксин</w:t>
            </w:r>
          </w:p>
        </w:tc>
        <w:tc>
          <w:tcPr>
            <w:tcW w:type="dxa" w:w="401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>
              <w:rPr>
                <w:rFonts w:ascii="Calibri" w:hAnsi="Calibri" w:eastAsia="Calibri"/>
                <w:b w:val="0"/>
                <w:color w:val="18212B"/>
                <w:sz w:val="17"/>
              </w:rPr>
              <w:t>Жизнеспособность, токсины, AMR-маркеры</w:t>
            </w:r>
          </w:p>
        </w:tc>
      </w:tr>
      <w:tr>
        <w:tc>
          <w:tcPr>
            <w:tcW w:type="dxa" w:w="18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7FAFC"/>
          </w:tcPr>
          <w:p>
            <w:pPr>
              <w:spacing w:before="0" w:after="0" w:line="252" w:lineRule="auto"/>
              <w:jc w:val="left"/>
            </w:pPr>
            <w:r>
              <w:rPr>
                <w:rFonts w:ascii="Calibri" w:hAnsi="Calibri" w:eastAsia="Calibri"/>
                <w:b/>
                <w:color w:val="18212B"/>
                <w:sz w:val="17"/>
              </w:rPr>
              <w:t>Эффект</w:t>
            </w:r>
          </w:p>
        </w:tc>
        <w:tc>
          <w:tcPr>
            <w:tcW w:type="dxa" w:w="35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7FAFC"/>
          </w:tcPr>
          <w:p>
            <w:pPr>
              <w:spacing w:before="0" w:after="0" w:line="252" w:lineRule="auto"/>
              <w:jc w:val="left"/>
            </w:pPr>
            <w:r>
              <w:rPr>
                <w:rFonts w:ascii="Calibri" w:hAnsi="Calibri" w:eastAsia="Calibri"/>
                <w:b w:val="0"/>
                <w:color w:val="18212B"/>
                <w:sz w:val="17"/>
              </w:rPr>
              <w:t>Осаждение и состояние растений</w:t>
            </w:r>
          </w:p>
        </w:tc>
        <w:tc>
          <w:tcPr>
            <w:tcW w:type="dxa" w:w="401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7FAFC"/>
          </w:tcPr>
          <w:p>
            <w:pPr>
              <w:spacing w:before="0" w:after="0" w:line="252" w:lineRule="auto"/>
              <w:jc w:val="left"/>
            </w:pPr>
            <w:r>
              <w:rPr>
                <w:rFonts w:ascii="Calibri" w:hAnsi="Calibri" w:eastAsia="Calibri"/>
                <w:b w:val="0"/>
                <w:color w:val="18212B"/>
                <w:sz w:val="17"/>
              </w:rPr>
              <w:t>Фенология, биоразнообразие, биоиндикация</w:t>
            </w:r>
          </w:p>
        </w:tc>
      </w:tr>
      <w:tr>
        <w:tc>
          <w:tcPr>
            <w:tcW w:type="dxa" w:w="18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>
              <w:rPr>
                <w:rFonts w:ascii="Calibri" w:hAnsi="Calibri" w:eastAsia="Calibri"/>
                <w:b/>
                <w:color w:val="18212B"/>
                <w:sz w:val="17"/>
              </w:rPr>
              <w:t>Экспозиция</w:t>
            </w:r>
          </w:p>
        </w:tc>
        <w:tc>
          <w:tcPr>
            <w:tcW w:type="dxa" w:w="35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>
              <w:rPr>
                <w:rFonts w:ascii="Calibri" w:hAnsi="Calibri" w:eastAsia="Calibri"/>
                <w:b w:val="0"/>
                <w:color w:val="18212B"/>
                <w:sz w:val="17"/>
              </w:rPr>
              <w:t>Население и время в зоне</w:t>
            </w:r>
          </w:p>
        </w:tc>
        <w:tc>
          <w:tcPr>
            <w:tcW w:type="dxa" w:w="401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>
              <w:rPr>
                <w:rFonts w:ascii="Calibri" w:hAnsi="Calibri" w:eastAsia="Calibri"/>
                <w:b w:val="0"/>
                <w:color w:val="18212B"/>
                <w:sz w:val="17"/>
              </w:rPr>
              <w:t>Модели уязвимых групп без раскрытия личности</w:t>
            </w:r>
          </w:p>
        </w:tc>
      </w:tr>
      <w:tr>
        <w:tc>
          <w:tcPr>
            <w:tcW w:type="dxa" w:w="18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7FAFC"/>
          </w:tcPr>
          <w:p>
            <w:pPr>
              <w:spacing w:before="0" w:after="0" w:line="252" w:lineRule="auto"/>
              <w:jc w:val="left"/>
            </w:pPr>
            <w:r>
              <w:rPr>
                <w:rFonts w:ascii="Calibri" w:hAnsi="Calibri" w:eastAsia="Calibri"/>
                <w:b/>
                <w:color w:val="18212B"/>
                <w:sz w:val="17"/>
              </w:rPr>
              <w:t>Система</w:t>
            </w:r>
          </w:p>
        </w:tc>
        <w:tc>
          <w:tcPr>
            <w:tcW w:type="dxa" w:w="35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7FAFC"/>
          </w:tcPr>
          <w:p>
            <w:pPr>
              <w:spacing w:before="0" w:after="0" w:line="252" w:lineRule="auto"/>
              <w:jc w:val="left"/>
            </w:pPr>
            <w:r>
              <w:rPr>
                <w:rFonts w:ascii="Calibri" w:hAnsi="Calibri" w:eastAsia="Calibri"/>
                <w:b w:val="0"/>
                <w:color w:val="18212B"/>
                <w:sz w:val="17"/>
              </w:rPr>
              <w:t>Полнота и доступность данных</w:t>
            </w:r>
          </w:p>
        </w:tc>
        <w:tc>
          <w:tcPr>
            <w:tcW w:type="dxa" w:w="401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7FAFC"/>
          </w:tcPr>
          <w:p>
            <w:pPr>
              <w:spacing w:before="0" w:after="0" w:line="252" w:lineRule="auto"/>
              <w:jc w:val="left"/>
            </w:pPr>
            <w:r>
              <w:rPr>
                <w:rFonts w:ascii="Calibri" w:hAnsi="Calibri" w:eastAsia="Calibri"/>
                <w:b w:val="0"/>
                <w:color w:val="18212B"/>
                <w:sz w:val="17"/>
              </w:rPr>
              <w:t>Точность прогноза, ложные тревоги, время реакции</w:t>
            </w:r>
          </w:p>
        </w:tc>
      </w:tr>
    </w:tbl>
    <w:p>
      <w:pPr>
        <w:spacing w:after="40"/>
      </w:pPr>
    </w:p>
    <w:p>
      <w:pPr>
        <w:pStyle w:val="Heading2"/>
        <w:keepNext/>
      </w:pPr>
      <w:r>
        <w:rPr>
          <w:rFonts w:ascii="Calibri" w:hAnsi="Calibri" w:eastAsia="Calibri"/>
          <w:b/>
          <w:color w:val="2E74B5"/>
          <w:sz w:val="26"/>
        </w:rPr>
        <w:t>7.2. Ориентиры ВОЗ 2021</w:t>
      </w:r>
    </w:p>
    <w:p>
      <w:pPr>
        <w:spacing w:after="160" w:line="320" w:lineRule="auto"/>
        <w:jc w:val="both"/>
      </w:pPr>
      <w:r>
        <w:rPr>
          <w:rFonts w:ascii="Calibri" w:hAnsi="Calibri" w:eastAsia="Calibri"/>
          <w:color w:val="18212B"/>
          <w:sz w:val="22"/>
        </w:rPr>
        <w:t>Рекомендации ВОЗ являются медико-профилактическим ориентиром и не заменяют национальные нормативы. В официальной российской оценке применяются действующие санитарные требования; перед подачей документа необходимо проверить актуальную редакцию СанПиН 1.2.3685-21 [1, 6].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jc w:val="left"/>
        <w:tblInd w:w="120" w:type="dxa"/>
      </w:tblPr>
      <w:tblGrid>
        <w:gridCol w:w="1800"/>
        <w:gridCol w:w="2750"/>
        <w:gridCol w:w="4810"/>
      </w:tblGrid>
      <w:tr>
        <w:trPr>
          <w:tblHeader w:val="true"/>
        </w:trPr>
        <w:tc>
          <w:tcPr>
            <w:tcW w:type="dxa" w:w="18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0B2545"/>
          </w:tcPr>
          <w:p>
            <w:pPr>
              <w:spacing w:after="0" w:line="252" w:lineRule="auto"/>
              <w:jc w:val="center"/>
            </w:pPr>
            <w:r>
              <w:rPr>
                <w:rFonts w:ascii="Calibri" w:hAnsi="Calibri" w:eastAsia="Calibri"/>
                <w:b/>
                <w:color w:val="FFFFFF"/>
                <w:sz w:val="18"/>
              </w:rPr>
              <w:t>Компонент</w:t>
            </w:r>
          </w:p>
        </w:tc>
        <w:tc>
          <w:tcPr>
            <w:tcW w:type="dxa" w:w="27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0B2545"/>
          </w:tcPr>
          <w:p>
            <w:pPr>
              <w:spacing w:after="0" w:line="252" w:lineRule="auto"/>
              <w:jc w:val="center"/>
            </w:pPr>
            <w:r>
              <w:rPr>
                <w:rFonts w:ascii="Calibri" w:hAnsi="Calibri" w:eastAsia="Calibri"/>
                <w:b/>
                <w:color w:val="FFFFFF"/>
                <w:sz w:val="18"/>
              </w:rPr>
              <w:t>Долгосрочный ориентир</w:t>
            </w:r>
          </w:p>
        </w:tc>
        <w:tc>
          <w:tcPr>
            <w:tcW w:type="dxa" w:w="481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0B2545"/>
          </w:tcPr>
          <w:p>
            <w:pPr>
              <w:spacing w:after="0" w:line="252" w:lineRule="auto"/>
              <w:jc w:val="center"/>
            </w:pPr>
            <w:r>
              <w:rPr>
                <w:rFonts w:ascii="Calibri" w:hAnsi="Calibri" w:eastAsia="Calibri"/>
                <w:b/>
                <w:color w:val="FFFFFF"/>
                <w:sz w:val="18"/>
              </w:rPr>
              <w:t>Краткосрочный ориентир</w:t>
            </w:r>
          </w:p>
        </w:tc>
      </w:tr>
      <w:tr>
        <w:tc>
          <w:tcPr>
            <w:tcW w:type="dxa" w:w="18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>
              <w:rPr>
                <w:rFonts w:ascii="Calibri" w:hAnsi="Calibri" w:eastAsia="Calibri"/>
                <w:b/>
                <w:color w:val="18212B"/>
                <w:sz w:val="17"/>
              </w:rPr>
              <w:t>PM2.5</w:t>
            </w:r>
          </w:p>
        </w:tc>
        <w:tc>
          <w:tcPr>
            <w:tcW w:type="dxa" w:w="27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>
              <w:rPr>
                <w:rFonts w:ascii="Calibri" w:hAnsi="Calibri" w:eastAsia="Calibri"/>
                <w:b w:val="0"/>
                <w:color w:val="18212B"/>
                <w:sz w:val="17"/>
              </w:rPr>
              <w:t>5 мкг/м³</w:t>
            </w:r>
          </w:p>
        </w:tc>
        <w:tc>
          <w:tcPr>
            <w:tcW w:type="dxa" w:w="481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>
              <w:rPr>
                <w:rFonts w:ascii="Calibri" w:hAnsi="Calibri" w:eastAsia="Calibri"/>
                <w:b w:val="0"/>
                <w:color w:val="18212B"/>
                <w:sz w:val="17"/>
              </w:rPr>
              <w:t>15 мкг/м³</w:t>
            </w:r>
          </w:p>
        </w:tc>
      </w:tr>
      <w:tr>
        <w:tc>
          <w:tcPr>
            <w:tcW w:type="dxa" w:w="18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7FAFC"/>
          </w:tcPr>
          <w:p>
            <w:pPr>
              <w:spacing w:before="0" w:after="0" w:line="252" w:lineRule="auto"/>
              <w:jc w:val="left"/>
            </w:pPr>
            <w:r>
              <w:rPr>
                <w:rFonts w:ascii="Calibri" w:hAnsi="Calibri" w:eastAsia="Calibri"/>
                <w:b/>
                <w:color w:val="18212B"/>
                <w:sz w:val="17"/>
              </w:rPr>
              <w:t>PM10</w:t>
            </w:r>
          </w:p>
        </w:tc>
        <w:tc>
          <w:tcPr>
            <w:tcW w:type="dxa" w:w="27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7FAFC"/>
          </w:tcPr>
          <w:p>
            <w:pPr>
              <w:spacing w:before="0" w:after="0" w:line="252" w:lineRule="auto"/>
              <w:jc w:val="left"/>
            </w:pPr>
            <w:r>
              <w:rPr>
                <w:rFonts w:ascii="Calibri" w:hAnsi="Calibri" w:eastAsia="Calibri"/>
                <w:b w:val="0"/>
                <w:color w:val="18212B"/>
                <w:sz w:val="17"/>
              </w:rPr>
              <w:t>15 мкг/м³</w:t>
            </w:r>
          </w:p>
        </w:tc>
        <w:tc>
          <w:tcPr>
            <w:tcW w:type="dxa" w:w="481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7FAFC"/>
          </w:tcPr>
          <w:p>
            <w:pPr>
              <w:spacing w:before="0" w:after="0" w:line="252" w:lineRule="auto"/>
              <w:jc w:val="left"/>
            </w:pPr>
            <w:r>
              <w:rPr>
                <w:rFonts w:ascii="Calibri" w:hAnsi="Calibri" w:eastAsia="Calibri"/>
                <w:b w:val="0"/>
                <w:color w:val="18212B"/>
                <w:sz w:val="17"/>
              </w:rPr>
              <w:t>45 мкг/м³</w:t>
            </w:r>
          </w:p>
        </w:tc>
      </w:tr>
      <w:tr>
        <w:tc>
          <w:tcPr>
            <w:tcW w:type="dxa" w:w="18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>
              <w:rPr>
                <w:rFonts w:ascii="Calibri" w:hAnsi="Calibri" w:eastAsia="Calibri"/>
                <w:b/>
                <w:color w:val="18212B"/>
                <w:sz w:val="17"/>
              </w:rPr>
              <w:t>NO₂</w:t>
            </w:r>
          </w:p>
        </w:tc>
        <w:tc>
          <w:tcPr>
            <w:tcW w:type="dxa" w:w="27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>
              <w:rPr>
                <w:rFonts w:ascii="Calibri" w:hAnsi="Calibri" w:eastAsia="Calibri"/>
                <w:b w:val="0"/>
                <w:color w:val="18212B"/>
                <w:sz w:val="17"/>
              </w:rPr>
              <w:t>10 мкг/м³</w:t>
            </w:r>
          </w:p>
        </w:tc>
        <w:tc>
          <w:tcPr>
            <w:tcW w:type="dxa" w:w="481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>
              <w:rPr>
                <w:rFonts w:ascii="Calibri" w:hAnsi="Calibri" w:eastAsia="Calibri"/>
                <w:b w:val="0"/>
                <w:color w:val="18212B"/>
                <w:sz w:val="17"/>
              </w:rPr>
              <w:t>25 мкг/м³</w:t>
            </w:r>
          </w:p>
        </w:tc>
      </w:tr>
      <w:tr>
        <w:tc>
          <w:tcPr>
            <w:tcW w:type="dxa" w:w="18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7FAFC"/>
          </w:tcPr>
          <w:p>
            <w:pPr>
              <w:spacing w:before="0" w:after="0" w:line="252" w:lineRule="auto"/>
              <w:jc w:val="left"/>
            </w:pPr>
            <w:r>
              <w:rPr>
                <w:rFonts w:ascii="Calibri" w:hAnsi="Calibri" w:eastAsia="Calibri"/>
                <w:b/>
                <w:color w:val="18212B"/>
                <w:sz w:val="17"/>
              </w:rPr>
              <w:t>O₃</w:t>
            </w:r>
          </w:p>
        </w:tc>
        <w:tc>
          <w:tcPr>
            <w:tcW w:type="dxa" w:w="27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7FAFC"/>
          </w:tcPr>
          <w:p>
            <w:pPr>
              <w:spacing w:before="0" w:after="0" w:line="252" w:lineRule="auto"/>
              <w:jc w:val="left"/>
            </w:pPr>
            <w:r>
              <w:rPr>
                <w:rFonts w:ascii="Calibri" w:hAnsi="Calibri" w:eastAsia="Calibri"/>
                <w:b w:val="0"/>
                <w:color w:val="18212B"/>
                <w:sz w:val="17"/>
              </w:rPr>
              <w:t>60 мкг/м³ — пик сезона</w:t>
            </w:r>
          </w:p>
        </w:tc>
        <w:tc>
          <w:tcPr>
            <w:tcW w:type="dxa" w:w="481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7FAFC"/>
          </w:tcPr>
          <w:p>
            <w:pPr>
              <w:spacing w:before="0" w:after="0" w:line="252" w:lineRule="auto"/>
              <w:jc w:val="left"/>
            </w:pPr>
            <w:r>
              <w:rPr>
                <w:rFonts w:ascii="Calibri" w:hAnsi="Calibri" w:eastAsia="Calibri"/>
                <w:b w:val="0"/>
                <w:color w:val="18212B"/>
                <w:sz w:val="17"/>
              </w:rPr>
              <w:t>100 мкг/м³ — максимум 8-часового среднего</w:t>
            </w:r>
          </w:p>
        </w:tc>
      </w:tr>
      <w:tr>
        <w:tc>
          <w:tcPr>
            <w:tcW w:type="dxa" w:w="18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>
              <w:rPr>
                <w:rFonts w:ascii="Calibri" w:hAnsi="Calibri" w:eastAsia="Calibri"/>
                <w:b/>
                <w:color w:val="18212B"/>
                <w:sz w:val="17"/>
              </w:rPr>
              <w:t>SO₂</w:t>
            </w:r>
          </w:p>
        </w:tc>
        <w:tc>
          <w:tcPr>
            <w:tcW w:type="dxa" w:w="27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>
              <w:rPr>
                <w:rFonts w:ascii="Calibri" w:hAnsi="Calibri" w:eastAsia="Calibri"/>
                <w:b w:val="0"/>
                <w:color w:val="18212B"/>
                <w:sz w:val="17"/>
              </w:rPr>
              <w:t>—</w:t>
            </w:r>
          </w:p>
        </w:tc>
        <w:tc>
          <w:tcPr>
            <w:tcW w:type="dxa" w:w="481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>
              <w:rPr>
                <w:rFonts w:ascii="Calibri" w:hAnsi="Calibri" w:eastAsia="Calibri"/>
                <w:b w:val="0"/>
                <w:color w:val="18212B"/>
                <w:sz w:val="17"/>
              </w:rPr>
              <w:t>40 мкг/м³</w:t>
            </w:r>
          </w:p>
        </w:tc>
      </w:tr>
      <w:tr>
        <w:tc>
          <w:tcPr>
            <w:tcW w:type="dxa" w:w="18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7FAFC"/>
          </w:tcPr>
          <w:p>
            <w:pPr>
              <w:spacing w:before="0" w:after="0" w:line="252" w:lineRule="auto"/>
              <w:jc w:val="left"/>
            </w:pPr>
            <w:r>
              <w:rPr>
                <w:rFonts w:ascii="Calibri" w:hAnsi="Calibri" w:eastAsia="Calibri"/>
                <w:b/>
                <w:color w:val="18212B"/>
                <w:sz w:val="17"/>
              </w:rPr>
              <w:t>CO</w:t>
            </w:r>
          </w:p>
        </w:tc>
        <w:tc>
          <w:tcPr>
            <w:tcW w:type="dxa" w:w="27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7FAFC"/>
          </w:tcPr>
          <w:p>
            <w:pPr>
              <w:spacing w:before="0" w:after="0" w:line="252" w:lineRule="auto"/>
              <w:jc w:val="left"/>
            </w:pPr>
            <w:r>
              <w:rPr>
                <w:rFonts w:ascii="Calibri" w:hAnsi="Calibri" w:eastAsia="Calibri"/>
                <w:b w:val="0"/>
                <w:color w:val="18212B"/>
                <w:sz w:val="17"/>
              </w:rPr>
              <w:t>—</w:t>
            </w:r>
          </w:p>
        </w:tc>
        <w:tc>
          <w:tcPr>
            <w:tcW w:type="dxa" w:w="481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7FAFC"/>
          </w:tcPr>
          <w:p>
            <w:pPr>
              <w:spacing w:before="0" w:after="0" w:line="252" w:lineRule="auto"/>
              <w:jc w:val="left"/>
            </w:pPr>
            <w:r>
              <w:rPr>
                <w:rFonts w:ascii="Calibri" w:hAnsi="Calibri" w:eastAsia="Calibri"/>
                <w:b w:val="0"/>
                <w:color w:val="18212B"/>
                <w:sz w:val="17"/>
              </w:rPr>
              <w:t>4 мг/м³</w:t>
            </w:r>
          </w:p>
        </w:tc>
      </w:tr>
    </w:tbl>
    <w:p>
      <w:pPr>
        <w:spacing w:after="40"/>
      </w:pPr>
    </w:p>
    <w:p>
      <w:pPr>
        <w:spacing w:after="120" w:line="320" w:lineRule="auto"/>
        <w:jc w:val="left"/>
      </w:pPr>
      <w:r>
        <w:rPr>
          <w:rFonts w:ascii="Calibri" w:hAnsi="Calibri" w:eastAsia="Calibri"/>
          <w:color w:val="18212B"/>
          <w:sz w:val="22"/>
        </w:rPr>
        <w:t>Примечание: суточные уровни ВОЗ представлены как 99-й процентиль, а не как абсолютный максимум. Для озона используется отдельная логика пикового сезона и восьмичасового среднего [1].</w:t>
      </w:r>
    </w:p>
    <w:p>
      <w:pPr>
        <w:pStyle w:val="Heading2"/>
        <w:keepNext/>
      </w:pPr>
      <w:r>
        <w:rPr>
          <w:rFonts w:ascii="Calibri" w:hAnsi="Calibri" w:eastAsia="Calibri"/>
          <w:b/>
          <w:color w:val="2E74B5"/>
          <w:sz w:val="26"/>
        </w:rPr>
        <w:t>7.3. Индексы</w:t>
      </w:r>
    </w:p>
    <w:p>
      <w:pPr>
        <w:numPr>
          <w:ilvl w:val="0"/>
          <w:numId w:val="17"/>
        </w:numPr>
        <w:spacing w:after="80" w:line="290" w:lineRule="auto"/>
      </w:pPr>
      <w:r>
        <w:rPr>
          <w:rFonts w:ascii="Calibri" w:hAnsi="Calibri" w:eastAsia="Calibri"/>
          <w:color w:val="18212B"/>
          <w:sz w:val="22"/>
        </w:rPr>
        <w:t>индекс физико-химического качества воздуха;</w:t>
      </w:r>
    </w:p>
    <w:p>
      <w:pPr>
        <w:numPr>
          <w:ilvl w:val="0"/>
          <w:numId w:val="17"/>
        </w:numPr>
        <w:spacing w:after="80" w:line="290" w:lineRule="auto"/>
      </w:pPr>
      <w:r>
        <w:rPr>
          <w:rFonts w:ascii="Calibri" w:hAnsi="Calibri" w:eastAsia="Calibri"/>
          <w:color w:val="18212B"/>
          <w:sz w:val="22"/>
        </w:rPr>
        <w:t>индекс состояния аэробиоты;</w:t>
      </w:r>
    </w:p>
    <w:p>
      <w:pPr>
        <w:numPr>
          <w:ilvl w:val="0"/>
          <w:numId w:val="17"/>
        </w:numPr>
        <w:spacing w:after="80" w:line="290" w:lineRule="auto"/>
      </w:pPr>
      <w:r>
        <w:rPr>
          <w:rFonts w:ascii="Calibri" w:hAnsi="Calibri" w:eastAsia="Calibri"/>
          <w:color w:val="18212B"/>
          <w:sz w:val="22"/>
        </w:rPr>
        <w:t>индекс экспозиционной безопасности;</w:t>
      </w:r>
    </w:p>
    <w:p>
      <w:pPr>
        <w:numPr>
          <w:ilvl w:val="0"/>
          <w:numId w:val="17"/>
        </w:numPr>
        <w:spacing w:after="80" w:line="290" w:lineRule="auto"/>
      </w:pPr>
      <w:r>
        <w:rPr>
          <w:rFonts w:ascii="Calibri" w:hAnsi="Calibri" w:eastAsia="Calibri"/>
          <w:color w:val="18212B"/>
          <w:sz w:val="22"/>
        </w:rPr>
        <w:t>индекс устойчивости и восстановительной способности территории.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c>
          <w:tcPr>
            <w:tcW w:type="dxa" w:w="93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FF6F3"/>
          </w:tcPr>
          <w:p>
            <w:pPr>
              <w:spacing w:before="60" w:after="60" w:line="276" w:lineRule="auto"/>
            </w:pPr>
            <w:r>
              <w:rPr>
                <w:rFonts w:ascii="Calibri" w:hAnsi="Calibri" w:eastAsia="Calibri"/>
                <w:b/>
                <w:color w:val="9B1C1C"/>
                <w:sz w:val="19"/>
              </w:rPr>
              <w:t xml:space="preserve">ПРАВИЛО БЕЗОПАСНОСТИ  </w:t>
            </w:r>
            <w:r>
              <w:rPr>
                <w:rFonts w:ascii="Calibri" w:hAnsi="Calibri" w:eastAsia="Calibri"/>
                <w:color w:val="18212B"/>
                <w:sz w:val="21"/>
              </w:rPr>
              <w:t>Опасный целевой сигнал, нормативное превышение или подтверждённый биологический риск всегда показываются отдельно и не могут быть скрыты благоприятным средним индексом.</w:t>
            </w:r>
          </w:p>
        </w:tc>
      </w:tr>
    </w:tbl>
    <w:p>
      <w:pPr>
        <w:spacing w:after="20"/>
      </w:pPr>
    </w:p>
    <w:p>
      <w:bookmarkStart w:id="8" w:name="section_8"/>
      <w:pPr>
        <w:pStyle w:val="Heading1"/>
        <w:keepNext/>
        <w:pageBreakBefore w:val="0"/>
      </w:pPr>
      <w:r>
        <w:rPr>
          <w:rFonts w:ascii="Calibri" w:hAnsi="Calibri" w:eastAsia="Calibri"/>
          <w:b/>
          <w:color w:val="2E74B5"/>
          <w:sz w:val="32"/>
        </w:rPr>
        <w:t>8. Измерительная сеть</w:t>
      </w:r>
      <w:bookmarkEnd w:id="8"/>
    </w:p>
    <w:p>
      <w:pPr>
        <w:spacing w:after="160" w:line="320" w:lineRule="auto"/>
        <w:jc w:val="both"/>
      </w:pPr>
      <w:r>
        <w:rPr>
          <w:rFonts w:ascii="Calibri" w:hAnsi="Calibri" w:eastAsia="Calibri"/>
          <w:color w:val="18212B"/>
          <w:sz w:val="22"/>
        </w:rPr>
        <w:t>Сеть строится по принципу «референтное ядро + распределённые узлы + лаборатория + мобильный контур + модельные и аэрокосмические данные». Низкобюджетные датчики не получают статус регуляторного измерения автоматически: необходимы совместное размещение с опорным оборудованием, коррекция влажностных и температурных влияний, обслуживание и повторная калибровка [3, 5].</w:t>
      </w:r>
    </w:p>
    <w:p>
      <w:pPr>
        <w:numPr>
          <w:ilvl w:val="0"/>
          <w:numId w:val="10"/>
        </w:numPr>
        <w:spacing w:after="80" w:line="290" w:lineRule="auto"/>
      </w:pPr>
      <w:r>
        <w:rPr>
          <w:rFonts w:ascii="Calibri" w:hAnsi="Calibri" w:eastAsia="Calibri"/>
          <w:color w:val="18212B"/>
          <w:sz w:val="22"/>
        </w:rPr>
        <w:t>одна опорная станция референтного уровня либо интеграция с существующей;</w:t>
      </w:r>
    </w:p>
    <w:p>
      <w:pPr>
        <w:numPr>
          <w:ilvl w:val="0"/>
          <w:numId w:val="10"/>
        </w:numPr>
        <w:spacing w:after="80" w:line="290" w:lineRule="auto"/>
      </w:pPr>
      <w:r>
        <w:rPr>
          <w:rFonts w:ascii="Calibri" w:hAnsi="Calibri" w:eastAsia="Calibri"/>
          <w:color w:val="18212B"/>
          <w:sz w:val="22"/>
        </w:rPr>
        <w:t>10–15 распределённых сенсорных узлов;</w:t>
      </w:r>
    </w:p>
    <w:p>
      <w:pPr>
        <w:numPr>
          <w:ilvl w:val="0"/>
          <w:numId w:val="10"/>
        </w:numPr>
        <w:spacing w:after="80" w:line="290" w:lineRule="auto"/>
      </w:pPr>
      <w:r>
        <w:rPr>
          <w:rFonts w:ascii="Calibri" w:hAnsi="Calibri" w:eastAsia="Calibri"/>
          <w:color w:val="18212B"/>
          <w:sz w:val="22"/>
        </w:rPr>
        <w:t>3–5 постов отбора биоаэрозолей и пыльцы;</w:t>
      </w:r>
    </w:p>
    <w:p>
      <w:pPr>
        <w:numPr>
          <w:ilvl w:val="0"/>
          <w:numId w:val="10"/>
        </w:numPr>
        <w:spacing w:after="80" w:line="290" w:lineRule="auto"/>
      </w:pPr>
      <w:r>
        <w:rPr>
          <w:rFonts w:ascii="Calibri" w:hAnsi="Calibri" w:eastAsia="Calibri"/>
          <w:color w:val="18212B"/>
          <w:sz w:val="22"/>
        </w:rPr>
        <w:t>одна фоновая контрольная точка;</w:t>
      </w:r>
    </w:p>
    <w:p>
      <w:pPr>
        <w:numPr>
          <w:ilvl w:val="0"/>
          <w:numId w:val="10"/>
        </w:numPr>
        <w:spacing w:after="80" w:line="290" w:lineRule="auto"/>
      </w:pPr>
      <w:r>
        <w:rPr>
          <w:rFonts w:ascii="Calibri" w:hAnsi="Calibri" w:eastAsia="Calibri"/>
          <w:color w:val="18212B"/>
          <w:sz w:val="22"/>
        </w:rPr>
        <w:t>мобильный измерительный комплекс и маршрутные обследования;</w:t>
      </w:r>
    </w:p>
    <w:p>
      <w:pPr>
        <w:numPr>
          <w:ilvl w:val="0"/>
          <w:numId w:val="10"/>
        </w:numPr>
        <w:spacing w:after="80" w:line="290" w:lineRule="auto"/>
      </w:pPr>
      <w:r>
        <w:rPr>
          <w:rFonts w:ascii="Calibri" w:hAnsi="Calibri" w:eastAsia="Calibri"/>
          <w:color w:val="18212B"/>
          <w:sz w:val="22"/>
        </w:rPr>
        <w:t>референс-лаборатория и подтверждающие лаборатории;</w:t>
      </w:r>
    </w:p>
    <w:p>
      <w:pPr>
        <w:numPr>
          <w:ilvl w:val="0"/>
          <w:numId w:val="10"/>
        </w:numPr>
        <w:spacing w:after="80" w:line="290" w:lineRule="auto"/>
      </w:pPr>
      <w:r>
        <w:rPr>
          <w:rFonts w:ascii="Calibri" w:hAnsi="Calibri" w:eastAsia="Calibri"/>
          <w:color w:val="18212B"/>
          <w:sz w:val="22"/>
        </w:rPr>
        <w:t>эпизодическое вертикальное профилирование;</w:t>
      </w:r>
    </w:p>
    <w:p>
      <w:pPr>
        <w:numPr>
          <w:ilvl w:val="0"/>
          <w:numId w:val="10"/>
        </w:numPr>
        <w:spacing w:after="80" w:line="290" w:lineRule="auto"/>
      </w:pPr>
      <w:r>
        <w:rPr>
          <w:rFonts w:ascii="Calibri" w:hAnsi="Calibri" w:eastAsia="Calibri"/>
          <w:color w:val="18212B"/>
          <w:sz w:val="22"/>
        </w:rPr>
        <w:t>спутниковые, модельные и метеорологические данные.</w:t>
      </w:r>
    </w:p>
    <w:p>
      <w:pPr>
        <w:pStyle w:val="Heading2"/>
        <w:keepNext/>
      </w:pPr>
      <w:r>
        <w:rPr>
          <w:rFonts w:ascii="Calibri" w:hAnsi="Calibri" w:eastAsia="Calibri"/>
          <w:b/>
          <w:color w:val="2E74B5"/>
          <w:sz w:val="26"/>
        </w:rPr>
        <w:t>Методы биологического контура</w:t>
      </w:r>
    </w:p>
    <w:p>
      <w:pPr>
        <w:spacing w:after="160" w:line="320" w:lineRule="auto"/>
        <w:jc w:val="both"/>
      </w:pPr>
      <w:r>
        <w:rPr>
          <w:rFonts w:ascii="Calibri" w:hAnsi="Calibri" w:eastAsia="Calibri"/>
          <w:color w:val="18212B"/>
          <w:sz w:val="22"/>
        </w:rPr>
        <w:t>Пыльца и споры определяются микроскопией или автоматизированными методами; бактерии и грибы — количественной ПЦР, 16S/ITS-профилированием и, по обоснованной программе, метагеномикой. Жизнеспособность, культивируемость, метаболическая активность, токсигенность и инфекционность оцениваются отдельными методами. Для низкобиомассных проб обязательны полевые, транспортные и лабораторные контроли.</w:t>
      </w:r>
    </w:p>
    <w:p>
      <w:bookmarkStart w:id="9" w:name="section_9"/>
      <w:pPr>
        <w:pStyle w:val="Heading1"/>
        <w:keepNext/>
        <w:pageBreakBefore w:val="0"/>
      </w:pPr>
      <w:r>
        <w:rPr>
          <w:rFonts w:ascii="Calibri" w:hAnsi="Calibri" w:eastAsia="Calibri"/>
          <w:b/>
          <w:color w:val="2E74B5"/>
          <w:sz w:val="32"/>
        </w:rPr>
        <w:t>9. Архитектура данных ЭКВИЛИБРИУМ</w:t>
      </w:r>
      <w:bookmarkEnd w:id="9"/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jc w:val="left"/>
        <w:tblInd w:w="120" w:type="dxa"/>
      </w:tblPr>
      <w:tblGrid>
        <w:gridCol w:w="2600"/>
        <w:gridCol w:w="6760"/>
      </w:tblGrid>
      <w:tr>
        <w:trPr>
          <w:tblHeader w:val="true"/>
        </w:trPr>
        <w:tc>
          <w:tcPr>
            <w:tcW w:type="dxa" w:w="26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0B2545"/>
          </w:tcPr>
          <w:p>
            <w:pPr>
              <w:spacing w:after="0" w:line="252" w:lineRule="auto"/>
              <w:jc w:val="center"/>
            </w:pPr>
            <w:r>
              <w:rPr>
                <w:rFonts w:ascii="Calibri" w:hAnsi="Calibri" w:eastAsia="Calibri"/>
                <w:b/>
                <w:color w:val="FFFFFF"/>
                <w:sz w:val="18"/>
              </w:rPr>
              <w:t>Слой</w:t>
            </w:r>
          </w:p>
        </w:tc>
        <w:tc>
          <w:tcPr>
            <w:tcW w:type="dxa" w:w="67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0B2545"/>
          </w:tcPr>
          <w:p>
            <w:pPr>
              <w:spacing w:after="0" w:line="252" w:lineRule="auto"/>
              <w:jc w:val="center"/>
            </w:pPr>
            <w:r>
              <w:rPr>
                <w:rFonts w:ascii="Calibri" w:hAnsi="Calibri" w:eastAsia="Calibri"/>
                <w:b/>
                <w:color w:val="FFFFFF"/>
                <w:sz w:val="18"/>
              </w:rPr>
              <w:t>Функция</w:t>
            </w:r>
          </w:p>
        </w:tc>
      </w:tr>
      <w:tr>
        <w:tc>
          <w:tcPr>
            <w:tcW w:type="dxa" w:w="26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>
              <w:rPr>
                <w:rFonts w:ascii="Calibri" w:hAnsi="Calibri" w:eastAsia="Calibri"/>
                <w:b/>
                <w:color w:val="18212B"/>
                <w:sz w:val="18"/>
              </w:rPr>
              <w:t>1. Получение</w:t>
            </w:r>
          </w:p>
        </w:tc>
        <w:tc>
          <w:tcPr>
            <w:tcW w:type="dxa" w:w="67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>
              <w:rPr>
                <w:rFonts w:ascii="Calibri" w:hAnsi="Calibri" w:eastAsia="Calibri"/>
                <w:b w:val="0"/>
                <w:color w:val="18212B"/>
                <w:sz w:val="18"/>
              </w:rPr>
              <w:t>Стационарные и мобильные приборы, лаборатории, ДЗЗ, метеоданные, биоиндикация.</w:t>
            </w:r>
          </w:p>
        </w:tc>
      </w:tr>
      <w:tr>
        <w:tc>
          <w:tcPr>
            <w:tcW w:type="dxa" w:w="26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7FAFC"/>
          </w:tcPr>
          <w:p>
            <w:pPr>
              <w:spacing w:before="0" w:after="0" w:line="252" w:lineRule="auto"/>
              <w:jc w:val="left"/>
            </w:pPr>
            <w:r>
              <w:rPr>
                <w:rFonts w:ascii="Calibri" w:hAnsi="Calibri" w:eastAsia="Calibri"/>
                <w:b/>
                <w:color w:val="18212B"/>
                <w:sz w:val="18"/>
              </w:rPr>
              <w:t>2. Пограничная обработка</w:t>
            </w:r>
          </w:p>
        </w:tc>
        <w:tc>
          <w:tcPr>
            <w:tcW w:type="dxa" w:w="67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7FAFC"/>
          </w:tcPr>
          <w:p>
            <w:pPr>
              <w:spacing w:before="0" w:after="0" w:line="252" w:lineRule="auto"/>
              <w:jc w:val="left"/>
            </w:pPr>
            <w:r>
              <w:rPr>
                <w:rFonts w:ascii="Calibri" w:hAnsi="Calibri" w:eastAsia="Calibri"/>
                <w:b w:val="0"/>
                <w:color w:val="18212B"/>
                <w:sz w:val="18"/>
              </w:rPr>
              <w:t>Проверка диапазонов, состояния прибора, времени, связи и первичных аномалий.</w:t>
            </w:r>
          </w:p>
        </w:tc>
      </w:tr>
      <w:tr>
        <w:tc>
          <w:tcPr>
            <w:tcW w:type="dxa" w:w="26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>
              <w:rPr>
                <w:rFonts w:ascii="Calibri" w:hAnsi="Calibri" w:eastAsia="Calibri"/>
                <w:b/>
                <w:color w:val="18212B"/>
                <w:sz w:val="18"/>
              </w:rPr>
              <w:t>3. Интеграция</w:t>
            </w:r>
          </w:p>
        </w:tc>
        <w:tc>
          <w:tcPr>
            <w:tcW w:type="dxa" w:w="67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>
              <w:rPr>
                <w:rFonts w:ascii="Calibri" w:hAnsi="Calibri" w:eastAsia="Calibri"/>
                <w:b w:val="0"/>
                <w:color w:val="18212B"/>
                <w:sz w:val="18"/>
              </w:rPr>
              <w:t>Единицы измерения, справочники веществ, таксонов, источников и территорий.</w:t>
            </w:r>
          </w:p>
        </w:tc>
      </w:tr>
      <w:tr>
        <w:tc>
          <w:tcPr>
            <w:tcW w:type="dxa" w:w="26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7FAFC"/>
          </w:tcPr>
          <w:p>
            <w:pPr>
              <w:spacing w:before="0" w:after="0" w:line="252" w:lineRule="auto"/>
              <w:jc w:val="left"/>
            </w:pPr>
            <w:r>
              <w:rPr>
                <w:rFonts w:ascii="Calibri" w:hAnsi="Calibri" w:eastAsia="Calibri"/>
                <w:b/>
                <w:color w:val="18212B"/>
                <w:sz w:val="18"/>
              </w:rPr>
              <w:t>4. Хранение</w:t>
            </w:r>
          </w:p>
        </w:tc>
        <w:tc>
          <w:tcPr>
            <w:tcW w:type="dxa" w:w="67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7FAFC"/>
          </w:tcPr>
          <w:p>
            <w:pPr>
              <w:spacing w:before="0" w:after="0" w:line="252" w:lineRule="auto"/>
              <w:jc w:val="left"/>
            </w:pPr>
            <w:r>
              <w:rPr>
                <w:rFonts w:ascii="Calibri" w:hAnsi="Calibri" w:eastAsia="Calibri"/>
                <w:b w:val="0"/>
                <w:color w:val="18212B"/>
                <w:sz w:val="18"/>
              </w:rPr>
              <w:t>Временные ряды, геоданные, лабораторные результаты, спектры, изображения и версии моделей.</w:t>
            </w:r>
          </w:p>
        </w:tc>
      </w:tr>
      <w:tr>
        <w:tc>
          <w:tcPr>
            <w:tcW w:type="dxa" w:w="26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>
              <w:rPr>
                <w:rFonts w:ascii="Calibri" w:hAnsi="Calibri" w:eastAsia="Calibri"/>
                <w:b/>
                <w:color w:val="18212B"/>
                <w:sz w:val="18"/>
              </w:rPr>
              <w:t>5. Семантический гиперграф</w:t>
            </w:r>
          </w:p>
        </w:tc>
        <w:tc>
          <w:tcPr>
            <w:tcW w:type="dxa" w:w="67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>
              <w:rPr>
                <w:rFonts w:ascii="Calibri" w:hAnsi="Calibri" w:eastAsia="Calibri"/>
                <w:b w:val="0"/>
                <w:color w:val="18212B"/>
                <w:sz w:val="18"/>
              </w:rPr>
              <w:t>Связь территории, станции, пробы, вещества, таксона, источника, рецептора, события, решения и результата.</w:t>
            </w:r>
          </w:p>
        </w:tc>
      </w:tr>
      <w:tr>
        <w:tc>
          <w:tcPr>
            <w:tcW w:type="dxa" w:w="26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7FAFC"/>
          </w:tcPr>
          <w:p>
            <w:pPr>
              <w:spacing w:before="0" w:after="0" w:line="252" w:lineRule="auto"/>
              <w:jc w:val="left"/>
            </w:pPr>
            <w:r>
              <w:rPr>
                <w:rFonts w:ascii="Calibri" w:hAnsi="Calibri" w:eastAsia="Calibri"/>
                <w:b/>
                <w:color w:val="18212B"/>
                <w:sz w:val="18"/>
              </w:rPr>
              <w:t>6. Аналитика</w:t>
            </w:r>
          </w:p>
        </w:tc>
        <w:tc>
          <w:tcPr>
            <w:tcW w:type="dxa" w:w="67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7FAFC"/>
          </w:tcPr>
          <w:p>
            <w:pPr>
              <w:spacing w:before="0" w:after="0" w:line="252" w:lineRule="auto"/>
              <w:jc w:val="left"/>
            </w:pPr>
            <w:r>
              <w:rPr>
                <w:rFonts w:ascii="Calibri" w:hAnsi="Calibri" w:eastAsia="Calibri"/>
                <w:b w:val="0"/>
                <w:color w:val="18212B"/>
                <w:sz w:val="18"/>
              </w:rPr>
              <w:t>Аномалии, обратные траектории, классификация источников, экспозиция, риск и цифровой двойник.</w:t>
            </w:r>
          </w:p>
        </w:tc>
      </w:tr>
      <w:tr>
        <w:tc>
          <w:tcPr>
            <w:tcW w:type="dxa" w:w="26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>
              <w:rPr>
                <w:rFonts w:ascii="Calibri" w:hAnsi="Calibri" w:eastAsia="Calibri"/>
                <w:b/>
                <w:color w:val="18212B"/>
                <w:sz w:val="18"/>
              </w:rPr>
              <w:t>7. Управление</w:t>
            </w:r>
          </w:p>
        </w:tc>
        <w:tc>
          <w:tcPr>
            <w:tcW w:type="dxa" w:w="67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>
              <w:rPr>
                <w:rFonts w:ascii="Calibri" w:hAnsi="Calibri" w:eastAsia="Calibri"/>
                <w:b w:val="0"/>
                <w:color w:val="18212B"/>
                <w:sz w:val="18"/>
              </w:rPr>
              <w:t>Ситуационный экран, карта рисков, уведомления, карточка события, публичная обезличенная карта.</w:t>
            </w:r>
          </w:p>
        </w:tc>
      </w:tr>
    </w:tbl>
    <w:p>
      <w:pPr>
        <w:spacing w:after="40"/>
      </w:pPr>
    </w:p>
    <w:p>
      <w:pPr>
        <w:pStyle w:val="Heading2"/>
        <w:keepNext/>
      </w:pPr>
      <w:r>
        <w:rPr>
          <w:rFonts w:ascii="Calibri" w:hAnsi="Calibri" w:eastAsia="Calibri"/>
          <w:b/>
          <w:color w:val="2E74B5"/>
          <w:sz w:val="26"/>
        </w:rPr>
        <w:t>Паспорт измерения</w:t>
      </w:r>
    </w:p>
    <w:p>
      <w:pPr>
        <w:numPr>
          <w:ilvl w:val="0"/>
          <w:numId w:val="10"/>
        </w:numPr>
        <w:spacing w:after="80" w:line="290" w:lineRule="auto"/>
      </w:pPr>
      <w:r>
        <w:rPr>
          <w:rFonts w:ascii="Calibri" w:hAnsi="Calibri" w:eastAsia="Calibri"/>
          <w:color w:val="18212B"/>
          <w:sz w:val="22"/>
        </w:rPr>
        <w:t>уникальный идентификатор, дата, время, координаты и высота;</w:t>
      </w:r>
    </w:p>
    <w:p>
      <w:pPr>
        <w:numPr>
          <w:ilvl w:val="0"/>
          <w:numId w:val="10"/>
        </w:numPr>
        <w:spacing w:after="80" w:line="290" w:lineRule="auto"/>
      </w:pPr>
      <w:r>
        <w:rPr>
          <w:rFonts w:ascii="Calibri" w:hAnsi="Calibri" w:eastAsia="Calibri"/>
          <w:color w:val="18212B"/>
          <w:sz w:val="22"/>
        </w:rPr>
        <w:t>метод, единица измерения, предел обнаружения и калибровка;</w:t>
      </w:r>
    </w:p>
    <w:p>
      <w:pPr>
        <w:numPr>
          <w:ilvl w:val="0"/>
          <w:numId w:val="10"/>
        </w:numPr>
        <w:spacing w:after="80" w:line="290" w:lineRule="auto"/>
      </w:pPr>
      <w:r>
        <w:rPr>
          <w:rFonts w:ascii="Calibri" w:hAnsi="Calibri" w:eastAsia="Calibri"/>
          <w:color w:val="18212B"/>
          <w:sz w:val="22"/>
        </w:rPr>
        <w:t>оценка неопределённости, признак качества и версия алгоритма;</w:t>
      </w:r>
    </w:p>
    <w:p>
      <w:pPr>
        <w:numPr>
          <w:ilvl w:val="0"/>
          <w:numId w:val="10"/>
        </w:numPr>
        <w:spacing w:after="80" w:line="290" w:lineRule="auto"/>
      </w:pPr>
      <w:r>
        <w:rPr>
          <w:rFonts w:ascii="Calibri" w:hAnsi="Calibri" w:eastAsia="Calibri"/>
          <w:color w:val="18212B"/>
          <w:sz w:val="22"/>
        </w:rPr>
        <w:t>происхождение данных и полный журнал преобразований;</w:t>
      </w:r>
    </w:p>
    <w:p>
      <w:pPr>
        <w:numPr>
          <w:ilvl w:val="0"/>
          <w:numId w:val="10"/>
        </w:numPr>
        <w:spacing w:after="80" w:line="290" w:lineRule="auto"/>
      </w:pPr>
      <w:r>
        <w:rPr>
          <w:rFonts w:ascii="Calibri" w:hAnsi="Calibri" w:eastAsia="Calibri"/>
          <w:color w:val="18212B"/>
          <w:sz w:val="22"/>
        </w:rPr>
        <w:t>для пробы — отборщик, тара, транспортировка и цепочка хранения.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c>
          <w:tcPr>
            <w:tcW w:type="dxa" w:w="93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DDEFF8"/>
          </w:tcPr>
          <w:p>
            <w:pPr>
              <w:spacing w:before="60" w:after="60" w:line="276" w:lineRule="auto"/>
            </w:pPr>
            <w:r>
              <w:rPr>
                <w:rFonts w:ascii="Calibri" w:hAnsi="Calibri" w:eastAsia="Calibri"/>
                <w:b/>
                <w:color w:val="0B2545"/>
                <w:sz w:val="19"/>
              </w:rPr>
              <w:t xml:space="preserve">ПРИНЦИП ИИ  </w:t>
            </w:r>
            <w:r>
              <w:rPr>
                <w:rFonts w:ascii="Calibri" w:hAnsi="Calibri" w:eastAsia="Calibri"/>
                <w:color w:val="18212B"/>
                <w:sz w:val="21"/>
              </w:rPr>
              <w:t>Алгоритм может обнаруживать аномалию и предлагать гипотезу источника, но значимое решение сопровождается объяснимыми основаниями, уровнем доверия и человеческим подтверждением.</w:t>
            </w:r>
          </w:p>
        </w:tc>
      </w:tr>
    </w:tbl>
    <w:p>
      <w:pPr>
        <w:spacing w:after="20"/>
      </w:pPr>
    </w:p>
    <w:p>
      <w:bookmarkStart w:id="10" w:name="section_10"/>
      <w:pPr>
        <w:pStyle w:val="Heading1"/>
        <w:keepNext/>
        <w:pageBreakBefore w:val="0"/>
      </w:pPr>
      <w:r>
        <w:rPr>
          <w:rFonts w:ascii="Calibri" w:hAnsi="Calibri" w:eastAsia="Calibri"/>
          <w:b/>
          <w:color w:val="2E74B5"/>
          <w:sz w:val="32"/>
        </w:rPr>
        <w:t>10. Атлас угроз</w:t>
      </w:r>
      <w:bookmarkEnd w:id="10"/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jc w:val="left"/>
        <w:tblInd w:w="120" w:type="dxa"/>
      </w:tblPr>
      <w:tblGrid>
        <w:gridCol w:w="2200"/>
        <w:gridCol w:w="3450"/>
        <w:gridCol w:w="3710"/>
      </w:tblGrid>
      <w:tr>
        <w:trPr>
          <w:tblHeader w:val="true"/>
        </w:trPr>
        <w:tc>
          <w:tcPr>
            <w:tcW w:type="dxa" w:w="22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0B2545"/>
          </w:tcPr>
          <w:p>
            <w:pPr>
              <w:spacing w:after="0" w:line="252" w:lineRule="auto"/>
              <w:jc w:val="center"/>
            </w:pPr>
            <w:r>
              <w:rPr>
                <w:rFonts w:ascii="Calibri" w:hAnsi="Calibri" w:eastAsia="Calibri"/>
                <w:b/>
                <w:color w:val="FFFFFF"/>
                <w:sz w:val="18"/>
              </w:rPr>
              <w:t>Сценарий</w:t>
            </w:r>
          </w:p>
        </w:tc>
        <w:tc>
          <w:tcPr>
            <w:tcW w:type="dxa" w:w="34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0B2545"/>
          </w:tcPr>
          <w:p>
            <w:pPr>
              <w:spacing w:after="0" w:line="252" w:lineRule="auto"/>
              <w:jc w:val="center"/>
            </w:pPr>
            <w:r>
              <w:rPr>
                <w:rFonts w:ascii="Calibri" w:hAnsi="Calibri" w:eastAsia="Calibri"/>
                <w:b/>
                <w:color w:val="FFFFFF"/>
                <w:sz w:val="18"/>
              </w:rPr>
              <w:t>Сигналы</w:t>
            </w:r>
          </w:p>
        </w:tc>
        <w:tc>
          <w:tcPr>
            <w:tcW w:type="dxa" w:w="371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0B2545"/>
          </w:tcPr>
          <w:p>
            <w:pPr>
              <w:spacing w:after="0" w:line="252" w:lineRule="auto"/>
              <w:jc w:val="center"/>
            </w:pPr>
            <w:r>
              <w:rPr>
                <w:rFonts w:ascii="Calibri" w:hAnsi="Calibri" w:eastAsia="Calibri"/>
                <w:b/>
                <w:color w:val="FFFFFF"/>
                <w:sz w:val="18"/>
              </w:rPr>
              <w:t>Основные действия</w:t>
            </w:r>
          </w:p>
        </w:tc>
      </w:tr>
      <w:tr>
        <w:tc>
          <w:tcPr>
            <w:tcW w:type="dxa" w:w="22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>
              <w:rPr>
                <w:rFonts w:ascii="Calibri" w:hAnsi="Calibri" w:eastAsia="Calibri"/>
                <w:b/>
                <w:color w:val="18212B"/>
                <w:sz w:val="16"/>
              </w:rPr>
              <w:t>Промышленный выброс</w:t>
            </w:r>
          </w:p>
        </w:tc>
        <w:tc>
          <w:tcPr>
            <w:tcW w:type="dxa" w:w="34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>
              <w:rPr>
                <w:rFonts w:ascii="Calibri" w:hAnsi="Calibri" w:eastAsia="Calibri"/>
                <w:b w:val="0"/>
                <w:color w:val="18212B"/>
                <w:sz w:val="16"/>
              </w:rPr>
              <w:t>Специфические газы, частицы или элементы + ветер</w:t>
            </w:r>
          </w:p>
        </w:tc>
        <w:tc>
          <w:tcPr>
            <w:tcW w:type="dxa" w:w="371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>
              <w:rPr>
                <w:rFonts w:ascii="Calibri" w:hAnsi="Calibri" w:eastAsia="Calibri"/>
                <w:b w:val="0"/>
                <w:color w:val="18212B"/>
                <w:sz w:val="16"/>
              </w:rPr>
              <w:t>Подтверждение, локализация, проверка источника</w:t>
            </w:r>
          </w:p>
        </w:tc>
      </w:tr>
      <w:tr>
        <w:tc>
          <w:tcPr>
            <w:tcW w:type="dxa" w:w="22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7FAFC"/>
          </w:tcPr>
          <w:p>
            <w:pPr>
              <w:spacing w:before="0" w:after="0" w:line="252" w:lineRule="auto"/>
              <w:jc w:val="left"/>
            </w:pPr>
            <w:r>
              <w:rPr>
                <w:rFonts w:ascii="Calibri" w:hAnsi="Calibri" w:eastAsia="Calibri"/>
                <w:b/>
                <w:color w:val="18212B"/>
                <w:sz w:val="16"/>
              </w:rPr>
              <w:t>Транспортный эпизод</w:t>
            </w:r>
          </w:p>
        </w:tc>
        <w:tc>
          <w:tcPr>
            <w:tcW w:type="dxa" w:w="34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7FAFC"/>
          </w:tcPr>
          <w:p>
            <w:pPr>
              <w:spacing w:before="0" w:after="0" w:line="252" w:lineRule="auto"/>
              <w:jc w:val="left"/>
            </w:pPr>
            <w:r>
              <w:rPr>
                <w:rFonts w:ascii="Calibri" w:hAnsi="Calibri" w:eastAsia="Calibri"/>
                <w:b w:val="0"/>
                <w:color w:val="18212B"/>
                <w:sz w:val="16"/>
              </w:rPr>
              <w:t>NOx, CO, чёрный углерод, ультрамелкие частицы</w:t>
            </w:r>
          </w:p>
        </w:tc>
        <w:tc>
          <w:tcPr>
            <w:tcW w:type="dxa" w:w="371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7FAFC"/>
          </w:tcPr>
          <w:p>
            <w:pPr>
              <w:spacing w:before="0" w:after="0" w:line="252" w:lineRule="auto"/>
              <w:jc w:val="left"/>
            </w:pPr>
            <w:r>
              <w:rPr>
                <w:rFonts w:ascii="Calibri" w:hAnsi="Calibri" w:eastAsia="Calibri"/>
                <w:b w:val="0"/>
                <w:color w:val="18212B"/>
                <w:sz w:val="16"/>
              </w:rPr>
              <w:t>Защита объектов, управление потоками</w:t>
            </w:r>
          </w:p>
        </w:tc>
      </w:tr>
      <w:tr>
        <w:tc>
          <w:tcPr>
            <w:tcW w:type="dxa" w:w="22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>
              <w:rPr>
                <w:rFonts w:ascii="Calibri" w:hAnsi="Calibri" w:eastAsia="Calibri"/>
                <w:b/>
                <w:color w:val="18212B"/>
                <w:sz w:val="16"/>
              </w:rPr>
              <w:t>Пожар и дым</w:t>
            </w:r>
          </w:p>
        </w:tc>
        <w:tc>
          <w:tcPr>
            <w:tcW w:type="dxa" w:w="34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>
              <w:rPr>
                <w:rFonts w:ascii="Calibri" w:hAnsi="Calibri" w:eastAsia="Calibri"/>
                <w:b w:val="0"/>
                <w:color w:val="18212B"/>
                <w:sz w:val="16"/>
              </w:rPr>
              <w:t>PM2.5, CO, органические компоненты, спутниковый очаг</w:t>
            </w:r>
          </w:p>
        </w:tc>
        <w:tc>
          <w:tcPr>
            <w:tcW w:type="dxa" w:w="371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>
              <w:rPr>
                <w:rFonts w:ascii="Calibri" w:hAnsi="Calibri" w:eastAsia="Calibri"/>
                <w:b w:val="0"/>
                <w:color w:val="18212B"/>
                <w:sz w:val="16"/>
              </w:rPr>
              <w:t>Прогноз шлейфа, предупреждение, фильтрация</w:t>
            </w:r>
          </w:p>
        </w:tc>
      </w:tr>
      <w:tr>
        <w:tc>
          <w:tcPr>
            <w:tcW w:type="dxa" w:w="22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7FAFC"/>
          </w:tcPr>
          <w:p>
            <w:pPr>
              <w:spacing w:before="0" w:after="0" w:line="252" w:lineRule="auto"/>
              <w:jc w:val="left"/>
            </w:pPr>
            <w:r>
              <w:rPr>
                <w:rFonts w:ascii="Calibri" w:hAnsi="Calibri" w:eastAsia="Calibri"/>
                <w:b/>
                <w:color w:val="18212B"/>
                <w:sz w:val="16"/>
              </w:rPr>
              <w:t>Пыль</w:t>
            </w:r>
          </w:p>
        </w:tc>
        <w:tc>
          <w:tcPr>
            <w:tcW w:type="dxa" w:w="34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7FAFC"/>
          </w:tcPr>
          <w:p>
            <w:pPr>
              <w:spacing w:before="0" w:after="0" w:line="252" w:lineRule="auto"/>
              <w:jc w:val="left"/>
            </w:pPr>
            <w:r>
              <w:rPr>
                <w:rFonts w:ascii="Calibri" w:hAnsi="Calibri" w:eastAsia="Calibri"/>
                <w:b w:val="0"/>
                <w:color w:val="18212B"/>
                <w:sz w:val="16"/>
              </w:rPr>
              <w:t>PM10, минеральный состав, сухая погода</w:t>
            </w:r>
          </w:p>
        </w:tc>
        <w:tc>
          <w:tcPr>
            <w:tcW w:type="dxa" w:w="371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7FAFC"/>
          </w:tcPr>
          <w:p>
            <w:pPr>
              <w:spacing w:before="0" w:after="0" w:line="252" w:lineRule="auto"/>
              <w:jc w:val="left"/>
            </w:pPr>
            <w:r>
              <w:rPr>
                <w:rFonts w:ascii="Calibri" w:hAnsi="Calibri" w:eastAsia="Calibri"/>
                <w:b w:val="0"/>
                <w:color w:val="18212B"/>
                <w:sz w:val="16"/>
              </w:rPr>
              <w:t>Пылеподавление и режим работ</w:t>
            </w:r>
          </w:p>
        </w:tc>
      </w:tr>
      <w:tr>
        <w:tc>
          <w:tcPr>
            <w:tcW w:type="dxa" w:w="22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>
              <w:rPr>
                <w:rFonts w:ascii="Calibri" w:hAnsi="Calibri" w:eastAsia="Calibri"/>
                <w:b/>
                <w:color w:val="18212B"/>
                <w:sz w:val="16"/>
              </w:rPr>
              <w:t>Инверсия</w:t>
            </w:r>
          </w:p>
        </w:tc>
        <w:tc>
          <w:tcPr>
            <w:tcW w:type="dxa" w:w="34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>
              <w:rPr>
                <w:rFonts w:ascii="Calibri" w:hAnsi="Calibri" w:eastAsia="Calibri"/>
                <w:b w:val="0"/>
                <w:color w:val="18212B"/>
                <w:sz w:val="16"/>
              </w:rPr>
              <w:t>Слабый ветер, низкий слой перемешивания, накопление</w:t>
            </w:r>
          </w:p>
        </w:tc>
        <w:tc>
          <w:tcPr>
            <w:tcW w:type="dxa" w:w="371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>
              <w:rPr>
                <w:rFonts w:ascii="Calibri" w:hAnsi="Calibri" w:eastAsia="Calibri"/>
                <w:b w:val="0"/>
                <w:color w:val="18212B"/>
                <w:sz w:val="16"/>
              </w:rPr>
              <w:t>Предупреждение и временное снижение выбросов</w:t>
            </w:r>
          </w:p>
        </w:tc>
      </w:tr>
      <w:tr>
        <w:tc>
          <w:tcPr>
            <w:tcW w:type="dxa" w:w="22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7FAFC"/>
          </w:tcPr>
          <w:p>
            <w:pPr>
              <w:spacing w:before="0" w:after="0" w:line="252" w:lineRule="auto"/>
              <w:jc w:val="left"/>
            </w:pPr>
            <w:r>
              <w:rPr>
                <w:rFonts w:ascii="Calibri" w:hAnsi="Calibri" w:eastAsia="Calibri"/>
                <w:b/>
                <w:color w:val="18212B"/>
                <w:sz w:val="16"/>
              </w:rPr>
              <w:t>Пыльца и споры</w:t>
            </w:r>
          </w:p>
        </w:tc>
        <w:tc>
          <w:tcPr>
            <w:tcW w:type="dxa" w:w="34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7FAFC"/>
          </w:tcPr>
          <w:p>
            <w:pPr>
              <w:spacing w:before="0" w:after="0" w:line="252" w:lineRule="auto"/>
              <w:jc w:val="left"/>
            </w:pPr>
            <w:r>
              <w:rPr>
                <w:rFonts w:ascii="Calibri" w:hAnsi="Calibri" w:eastAsia="Calibri"/>
                <w:b w:val="0"/>
                <w:color w:val="18212B"/>
                <w:sz w:val="16"/>
              </w:rPr>
              <w:t>Рост таксонов + фенология + метеоусловия</w:t>
            </w:r>
          </w:p>
        </w:tc>
        <w:tc>
          <w:tcPr>
            <w:tcW w:type="dxa" w:w="371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7FAFC"/>
          </w:tcPr>
          <w:p>
            <w:pPr>
              <w:spacing w:before="0" w:after="0" w:line="252" w:lineRule="auto"/>
              <w:jc w:val="left"/>
            </w:pPr>
            <w:r>
              <w:rPr>
                <w:rFonts w:ascii="Calibri" w:hAnsi="Calibri" w:eastAsia="Calibri"/>
                <w:b w:val="0"/>
                <w:color w:val="18212B"/>
                <w:sz w:val="16"/>
              </w:rPr>
              <w:t>Аллергенный прогноз и режимы фильтрации</w:t>
            </w:r>
          </w:p>
        </w:tc>
      </w:tr>
      <w:tr>
        <w:tc>
          <w:tcPr>
            <w:tcW w:type="dxa" w:w="22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>
              <w:rPr>
                <w:rFonts w:ascii="Calibri" w:hAnsi="Calibri" w:eastAsia="Calibri"/>
                <w:b/>
                <w:color w:val="18212B"/>
                <w:sz w:val="16"/>
              </w:rPr>
              <w:t>Сельхоз/отходы</w:t>
            </w:r>
          </w:p>
        </w:tc>
        <w:tc>
          <w:tcPr>
            <w:tcW w:type="dxa" w:w="34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>
              <w:rPr>
                <w:rFonts w:ascii="Calibri" w:hAnsi="Calibri" w:eastAsia="Calibri"/>
                <w:b w:val="0"/>
                <w:color w:val="18212B"/>
                <w:sz w:val="16"/>
              </w:rPr>
              <w:t>NH₃, органическая пыль, эндотоксин, биомаркеры</w:t>
            </w:r>
          </w:p>
        </w:tc>
        <w:tc>
          <w:tcPr>
            <w:tcW w:type="dxa" w:w="371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>
              <w:rPr>
                <w:rFonts w:ascii="Calibri" w:hAnsi="Calibri" w:eastAsia="Calibri"/>
                <w:b w:val="0"/>
                <w:color w:val="18212B"/>
                <w:sz w:val="16"/>
              </w:rPr>
              <w:t>Повторный отбор и обследование источника</w:t>
            </w:r>
          </w:p>
        </w:tc>
      </w:tr>
      <w:tr>
        <w:tc>
          <w:tcPr>
            <w:tcW w:type="dxa" w:w="22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7FAFC"/>
          </w:tcPr>
          <w:p>
            <w:pPr>
              <w:spacing w:before="0" w:after="0" w:line="252" w:lineRule="auto"/>
              <w:jc w:val="left"/>
            </w:pPr>
            <w:r>
              <w:rPr>
                <w:rFonts w:ascii="Calibri" w:hAnsi="Calibri" w:eastAsia="Calibri"/>
                <w:b/>
                <w:color w:val="18212B"/>
                <w:sz w:val="16"/>
              </w:rPr>
              <w:t>Необычный биосигнал</w:t>
            </w:r>
          </w:p>
        </w:tc>
        <w:tc>
          <w:tcPr>
            <w:tcW w:type="dxa" w:w="34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7FAFC"/>
          </w:tcPr>
          <w:p>
            <w:pPr>
              <w:spacing w:before="0" w:after="0" w:line="252" w:lineRule="auto"/>
              <w:jc w:val="left"/>
            </w:pPr>
            <w:r>
              <w:rPr>
                <w:rFonts w:ascii="Calibri" w:hAnsi="Calibri" w:eastAsia="Calibri"/>
                <w:b w:val="0"/>
                <w:color w:val="18212B"/>
                <w:sz w:val="16"/>
              </w:rPr>
              <w:t>Кластер целевых маркеров</w:t>
            </w:r>
          </w:p>
        </w:tc>
        <w:tc>
          <w:tcPr>
            <w:tcW w:type="dxa" w:w="371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7FAFC"/>
          </w:tcPr>
          <w:p>
            <w:pPr>
              <w:spacing w:before="0" w:after="0" w:line="252" w:lineRule="auto"/>
              <w:jc w:val="left"/>
            </w:pPr>
            <w:r>
              <w:rPr>
                <w:rFonts w:ascii="Calibri" w:hAnsi="Calibri" w:eastAsia="Calibri"/>
                <w:b w:val="0"/>
                <w:color w:val="18212B"/>
                <w:sz w:val="16"/>
              </w:rPr>
              <w:t>Закрытый контур, референс-подтверждение, компетентные органы</w:t>
            </w:r>
          </w:p>
        </w:tc>
      </w:tr>
      <w:tr>
        <w:tc>
          <w:tcPr>
            <w:tcW w:type="dxa" w:w="22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>
              <w:rPr>
                <w:rFonts w:ascii="Calibri" w:hAnsi="Calibri" w:eastAsia="Calibri"/>
                <w:b/>
                <w:color w:val="18212B"/>
                <w:sz w:val="16"/>
              </w:rPr>
              <w:t>Дальний перенос</w:t>
            </w:r>
          </w:p>
        </w:tc>
        <w:tc>
          <w:tcPr>
            <w:tcW w:type="dxa" w:w="34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>
              <w:rPr>
                <w:rFonts w:ascii="Calibri" w:hAnsi="Calibri" w:eastAsia="Calibri"/>
                <w:b w:val="0"/>
                <w:color w:val="18212B"/>
                <w:sz w:val="16"/>
              </w:rPr>
              <w:t>Синхронный рост на нескольких территориях</w:t>
            </w:r>
          </w:p>
        </w:tc>
        <w:tc>
          <w:tcPr>
            <w:tcW w:type="dxa" w:w="371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>
              <w:rPr>
                <w:rFonts w:ascii="Calibri" w:hAnsi="Calibri" w:eastAsia="Calibri"/>
                <w:b w:val="0"/>
                <w:color w:val="18212B"/>
                <w:sz w:val="16"/>
              </w:rPr>
              <w:t>Межрегиональный прогноз и обмен данными</w:t>
            </w:r>
          </w:p>
        </w:tc>
      </w:tr>
      <w:tr>
        <w:tc>
          <w:tcPr>
            <w:tcW w:type="dxa" w:w="22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7FAFC"/>
          </w:tcPr>
          <w:p>
            <w:pPr>
              <w:spacing w:before="0" w:after="0" w:line="252" w:lineRule="auto"/>
              <w:jc w:val="left"/>
            </w:pPr>
            <w:r>
              <w:rPr>
                <w:rFonts w:ascii="Calibri" w:hAnsi="Calibri" w:eastAsia="Calibri"/>
                <w:b/>
                <w:color w:val="18212B"/>
                <w:sz w:val="16"/>
              </w:rPr>
              <w:t>Подмена данных</w:t>
            </w:r>
          </w:p>
        </w:tc>
        <w:tc>
          <w:tcPr>
            <w:tcW w:type="dxa" w:w="34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7FAFC"/>
          </w:tcPr>
          <w:p>
            <w:pPr>
              <w:spacing w:before="0" w:after="0" w:line="252" w:lineRule="auto"/>
              <w:jc w:val="left"/>
            </w:pPr>
            <w:r>
              <w:rPr>
                <w:rFonts w:ascii="Calibri" w:hAnsi="Calibri" w:eastAsia="Calibri"/>
                <w:b w:val="0"/>
                <w:color w:val="18212B"/>
                <w:sz w:val="16"/>
              </w:rPr>
              <w:t>Невозможные значения, рассогласование, нарушение подписи</w:t>
            </w:r>
          </w:p>
        </w:tc>
        <w:tc>
          <w:tcPr>
            <w:tcW w:type="dxa" w:w="371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7FAFC"/>
          </w:tcPr>
          <w:p>
            <w:pPr>
              <w:spacing w:before="0" w:after="0" w:line="252" w:lineRule="auto"/>
              <w:jc w:val="left"/>
            </w:pPr>
            <w:r>
              <w:rPr>
                <w:rFonts w:ascii="Calibri" w:hAnsi="Calibri" w:eastAsia="Calibri"/>
                <w:b w:val="0"/>
                <w:color w:val="18212B"/>
                <w:sz w:val="16"/>
              </w:rPr>
              <w:t>Изоляция узла, аудит, резервирование</w:t>
            </w:r>
          </w:p>
        </w:tc>
      </w:tr>
    </w:tbl>
    <w:p>
      <w:pPr>
        <w:spacing w:after="40"/>
      </w:pPr>
    </w:p>
    <w:p>
      <w:bookmarkStart w:id="11" w:name="section_11"/>
      <w:pPr>
        <w:pStyle w:val="Heading1"/>
        <w:keepNext/>
        <w:pageBreakBefore w:val="0"/>
      </w:pPr>
      <w:r>
        <w:rPr>
          <w:rFonts w:ascii="Calibri" w:hAnsi="Calibri" w:eastAsia="Calibri"/>
          <w:b/>
          <w:color w:val="2E74B5"/>
          <w:sz w:val="32"/>
        </w:rPr>
        <w:t>11. Алгоритм реакции</w:t>
      </w:r>
      <w:bookmarkEnd w:id="11"/>
    </w:p>
    <w:p>
      <w:pPr>
        <w:pStyle w:val="Heading2"/>
        <w:keepNext/>
        <w:spacing w:before="160" w:after="80"/>
      </w:pPr>
      <w:r>
        <w:rPr>
          <w:rFonts w:ascii="Calibri" w:hAnsi="Calibri" w:eastAsia="Calibri"/>
          <w:b/>
          <w:color w:val="1F4D78"/>
          <w:sz w:val="24"/>
        </w:rPr>
        <w:t>Шаг 1. Обнаружить</w:t>
      </w:r>
    </w:p>
    <w:p>
      <w:pPr>
        <w:spacing w:after="160" w:line="320" w:lineRule="auto"/>
        <w:jc w:val="both"/>
      </w:pPr>
      <w:r>
        <w:rPr>
          <w:rFonts w:ascii="Calibri" w:hAnsi="Calibri" w:eastAsia="Calibri"/>
          <w:color w:val="18212B"/>
          <w:sz w:val="22"/>
        </w:rPr>
        <w:t>Нормативное превышение, отклонение от сезонного фона, сочетание сигналов или прогноз опасного развития.</w:t>
      </w:r>
    </w:p>
    <w:p>
      <w:pPr>
        <w:pStyle w:val="Heading2"/>
        <w:keepNext/>
        <w:spacing w:before="160" w:after="80"/>
      </w:pPr>
      <w:r>
        <w:rPr>
          <w:rFonts w:ascii="Calibri" w:hAnsi="Calibri" w:eastAsia="Calibri"/>
          <w:b/>
          <w:color w:val="1F4D78"/>
          <w:sz w:val="24"/>
        </w:rPr>
        <w:t>Шаг 2. Проверить качество</w:t>
      </w:r>
    </w:p>
    <w:p>
      <w:pPr>
        <w:spacing w:after="160" w:line="320" w:lineRule="auto"/>
        <w:jc w:val="both"/>
      </w:pPr>
      <w:r>
        <w:rPr>
          <w:rFonts w:ascii="Calibri" w:hAnsi="Calibri" w:eastAsia="Calibri"/>
          <w:color w:val="18212B"/>
          <w:sz w:val="22"/>
        </w:rPr>
        <w:t>Исправность прибора, калибровка, влажность, соседние узлы и метеорологическая правдоподобность.</w:t>
      </w:r>
    </w:p>
    <w:p>
      <w:pPr>
        <w:pStyle w:val="Heading2"/>
        <w:keepNext/>
        <w:spacing w:before="160" w:after="80"/>
      </w:pPr>
      <w:r>
        <w:rPr>
          <w:rFonts w:ascii="Calibri" w:hAnsi="Calibri" w:eastAsia="Calibri"/>
          <w:b/>
          <w:color w:val="1F4D78"/>
          <w:sz w:val="24"/>
        </w:rPr>
        <w:t>Шаг 3. Подтвердить</w:t>
      </w:r>
    </w:p>
    <w:p>
      <w:pPr>
        <w:spacing w:after="160" w:line="320" w:lineRule="auto"/>
        <w:jc w:val="both"/>
      </w:pPr>
      <w:r>
        <w:rPr>
          <w:rFonts w:ascii="Calibri" w:hAnsi="Calibri" w:eastAsia="Calibri"/>
          <w:color w:val="18212B"/>
          <w:sz w:val="22"/>
        </w:rPr>
        <w:t>Независимый метод, повторный отбор, референс-лаборатория и проверка операций у источника.</w:t>
      </w:r>
    </w:p>
    <w:p>
      <w:pPr>
        <w:pStyle w:val="Heading2"/>
        <w:keepNext/>
        <w:spacing w:before="160" w:after="80"/>
      </w:pPr>
      <w:r>
        <w:rPr>
          <w:rFonts w:ascii="Calibri" w:hAnsi="Calibri" w:eastAsia="Calibri"/>
          <w:b/>
          <w:color w:val="1F4D78"/>
          <w:sz w:val="24"/>
        </w:rPr>
        <w:t>Шаг 4. Оценить риск</w:t>
      </w:r>
    </w:p>
    <w:p>
      <w:pPr>
        <w:spacing w:after="160" w:line="320" w:lineRule="auto"/>
        <w:jc w:val="both"/>
      </w:pPr>
      <w:r>
        <w:rPr>
          <w:rFonts w:ascii="Calibri" w:hAnsi="Calibri" w:eastAsia="Calibri"/>
          <w:color w:val="18212B"/>
          <w:sz w:val="22"/>
        </w:rPr>
        <w:t>Опасность × экспозиция × уязвимость; доверие и срочность указываются отдельно.</w:t>
      </w:r>
    </w:p>
    <w:p>
      <w:pPr>
        <w:pStyle w:val="Heading2"/>
        <w:keepNext/>
        <w:spacing w:before="160" w:after="80"/>
      </w:pPr>
      <w:r>
        <w:rPr>
          <w:rFonts w:ascii="Calibri" w:hAnsi="Calibri" w:eastAsia="Calibri"/>
          <w:b/>
          <w:color w:val="1F4D78"/>
          <w:sz w:val="24"/>
        </w:rPr>
        <w:t>Шаг 5. Установить источник</w:t>
      </w:r>
    </w:p>
    <w:p>
      <w:pPr>
        <w:spacing w:after="160" w:line="320" w:lineRule="auto"/>
        <w:jc w:val="both"/>
      </w:pPr>
      <w:r>
        <w:rPr>
          <w:rFonts w:ascii="Calibri" w:hAnsi="Calibri" w:eastAsia="Calibri"/>
          <w:color w:val="18212B"/>
          <w:sz w:val="22"/>
        </w:rPr>
        <w:t>Ветер, обратные траектории, реестр источников, профили и мобильное обследование.</w:t>
      </w:r>
    </w:p>
    <w:p>
      <w:pPr>
        <w:pStyle w:val="Heading2"/>
        <w:keepNext/>
        <w:spacing w:before="160" w:after="80"/>
      </w:pPr>
      <w:r>
        <w:rPr>
          <w:rFonts w:ascii="Calibri" w:hAnsi="Calibri" w:eastAsia="Calibri"/>
          <w:b/>
          <w:color w:val="1F4D78"/>
          <w:sz w:val="24"/>
        </w:rPr>
        <w:t>Шаг 6. Спрогнозировать</w:t>
      </w:r>
    </w:p>
    <w:p>
      <w:pPr>
        <w:spacing w:after="160" w:line="320" w:lineRule="auto"/>
        <w:jc w:val="both"/>
      </w:pPr>
      <w:r>
        <w:rPr>
          <w:rFonts w:ascii="Calibri" w:hAnsi="Calibri" w:eastAsia="Calibri"/>
          <w:color w:val="18212B"/>
          <w:sz w:val="22"/>
        </w:rPr>
        <w:t>Зона воздействия и чувствительные объекты на горизонтах 6, 24 и 72 часа.</w:t>
      </w:r>
    </w:p>
    <w:p>
      <w:pPr>
        <w:pStyle w:val="Heading2"/>
        <w:keepNext/>
        <w:spacing w:before="160" w:after="80"/>
      </w:pPr>
      <w:r>
        <w:rPr>
          <w:rFonts w:ascii="Calibri" w:hAnsi="Calibri" w:eastAsia="Calibri"/>
          <w:b/>
          <w:color w:val="1F4D78"/>
          <w:sz w:val="24"/>
        </w:rPr>
        <w:t>Шаг 7. Принять решение</w:t>
      </w:r>
    </w:p>
    <w:p>
      <w:pPr>
        <w:spacing w:after="160" w:line="320" w:lineRule="auto"/>
        <w:jc w:val="both"/>
      </w:pPr>
      <w:r>
        <w:rPr>
          <w:rFonts w:ascii="Calibri" w:hAnsi="Calibri" w:eastAsia="Calibri"/>
          <w:color w:val="18212B"/>
          <w:sz w:val="22"/>
        </w:rPr>
        <w:t>Зелёный, жёлтый, оранжевый или красный уровень; действие утверждает компетентный орган.</w:t>
      </w:r>
    </w:p>
    <w:p>
      <w:pPr>
        <w:pStyle w:val="Heading2"/>
        <w:keepNext/>
        <w:spacing w:before="160" w:after="80"/>
      </w:pPr>
      <w:r>
        <w:rPr>
          <w:rFonts w:ascii="Calibri" w:hAnsi="Calibri" w:eastAsia="Calibri"/>
          <w:b/>
          <w:color w:val="1F4D78"/>
          <w:sz w:val="24"/>
        </w:rPr>
        <w:t>Шаг 8. Проверить эффект</w:t>
      </w:r>
    </w:p>
    <w:p>
      <w:pPr>
        <w:spacing w:after="160" w:line="320" w:lineRule="auto"/>
        <w:jc w:val="both"/>
      </w:pPr>
      <w:r>
        <w:rPr>
          <w:rFonts w:ascii="Calibri" w:hAnsi="Calibri" w:eastAsia="Calibri"/>
          <w:color w:val="18212B"/>
          <w:sz w:val="22"/>
        </w:rPr>
        <w:t>Сравнение до/после, контрольная территория, сопоставимая погода и остаточный риск.</w:t>
      </w:r>
    </w:p>
    <w:p>
      <w:pPr>
        <w:pStyle w:val="Heading2"/>
        <w:keepNext/>
        <w:spacing w:before="160" w:after="80"/>
      </w:pPr>
      <w:r>
        <w:rPr>
          <w:rFonts w:ascii="Calibri" w:hAnsi="Calibri" w:eastAsia="Calibri"/>
          <w:b/>
          <w:color w:val="1F4D78"/>
          <w:sz w:val="24"/>
        </w:rPr>
        <w:t>Шаг 9. Закрыть и обучиться</w:t>
      </w:r>
    </w:p>
    <w:p>
      <w:pPr>
        <w:spacing w:after="160" w:line="320" w:lineRule="auto"/>
        <w:jc w:val="both"/>
      </w:pPr>
      <w:r>
        <w:rPr>
          <w:rFonts w:ascii="Calibri" w:hAnsi="Calibri" w:eastAsia="Calibri"/>
          <w:color w:val="18212B"/>
          <w:sz w:val="22"/>
        </w:rPr>
        <w:t>Итоговая карточка события, причина, эффективность, обновление модели и регламента.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c>
          <w:tcPr>
            <w:tcW w:type="dxa" w:w="93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FF8E8"/>
          </w:tcPr>
          <w:p>
            <w:pPr>
              <w:spacing w:before="60" w:after="60" w:line="276" w:lineRule="auto"/>
            </w:pPr>
            <w:r>
              <w:rPr>
                <w:rFonts w:ascii="Calibri" w:hAnsi="Calibri" w:eastAsia="Calibri"/>
                <w:b/>
                <w:color w:val="B58B2A"/>
                <w:sz w:val="19"/>
              </w:rPr>
              <w:t xml:space="preserve">ФОРМУЛА РИСКА  </w:t>
            </w:r>
            <w:r>
              <w:rPr>
                <w:rFonts w:ascii="Calibri" w:hAnsi="Calibri" w:eastAsia="Calibri"/>
                <w:color w:val="18212B"/>
                <w:sz w:val="21"/>
              </w:rPr>
              <w:t>R = H × E × V, где H — опасность, E — ожидаемая экспозиция, V — уязвимость. Низкая уверенность при потенциально тяжёлом последствии требует ускоренного подтверждения, а не игнорирования сигнала.</w:t>
            </w:r>
          </w:p>
        </w:tc>
      </w:tr>
    </w:tbl>
    <w:p>
      <w:pPr>
        <w:spacing w:after="20"/>
      </w:pPr>
    </w:p>
    <w:p>
      <w:bookmarkStart w:id="12" w:name="section_12"/>
      <w:pPr>
        <w:pStyle w:val="Heading1"/>
        <w:keepNext/>
        <w:pageBreakBefore w:val="0"/>
      </w:pPr>
      <w:r>
        <w:rPr>
          <w:rFonts w:ascii="Calibri" w:hAnsi="Calibri" w:eastAsia="Calibri"/>
          <w:b/>
          <w:color w:val="2E74B5"/>
          <w:sz w:val="32"/>
        </w:rPr>
        <w:t>12. ECO-PPA как контур реализации</w:t>
      </w:r>
      <w:bookmarkEnd w:id="12"/>
    </w:p>
    <w:p>
      <w:pPr>
        <w:spacing w:after="160" w:line="320" w:lineRule="auto"/>
        <w:jc w:val="both"/>
      </w:pPr>
      <w:r>
        <w:rPr>
          <w:rFonts w:ascii="Calibri" w:hAnsi="Calibri" w:eastAsia="Calibri"/>
          <w:color w:val="18212B"/>
          <w:sz w:val="22"/>
        </w:rPr>
        <w:t>ECO-PPA превращает результаты наблюдения в финансируемые пакеты предупреждения и восстановления. Каждый пакет получает паспорт, связывающий проблему, исходный уровень, решение, ресурсы, срок и доказательство результата.</w:t>
      </w:r>
    </w:p>
    <w:p>
      <w:pPr>
        <w:numPr>
          <w:ilvl w:val="0"/>
          <w:numId w:val="19"/>
        </w:numPr>
        <w:spacing w:after="80" w:line="290" w:lineRule="auto"/>
      </w:pPr>
      <w:r>
        <w:rPr>
          <w:rFonts w:ascii="Calibri" w:hAnsi="Calibri" w:eastAsia="Calibri"/>
          <w:color w:val="18212B"/>
          <w:sz w:val="22"/>
        </w:rPr>
        <w:t>проблема, источник и исходный уровень;</w:t>
      </w:r>
    </w:p>
    <w:p>
      <w:pPr>
        <w:numPr>
          <w:ilvl w:val="0"/>
          <w:numId w:val="19"/>
        </w:numPr>
        <w:spacing w:after="80" w:line="290" w:lineRule="auto"/>
      </w:pPr>
      <w:r>
        <w:rPr>
          <w:rFonts w:ascii="Calibri" w:hAnsi="Calibri" w:eastAsia="Calibri"/>
          <w:color w:val="18212B"/>
          <w:sz w:val="22"/>
        </w:rPr>
        <w:t>целевой результат и техническое либо организационное решение;</w:t>
      </w:r>
    </w:p>
    <w:p>
      <w:pPr>
        <w:numPr>
          <w:ilvl w:val="0"/>
          <w:numId w:val="19"/>
        </w:numPr>
        <w:spacing w:after="80" w:line="290" w:lineRule="auto"/>
      </w:pPr>
      <w:r>
        <w:rPr>
          <w:rFonts w:ascii="Calibri" w:hAnsi="Calibri" w:eastAsia="Calibri"/>
          <w:color w:val="18212B"/>
          <w:sz w:val="22"/>
        </w:rPr>
        <w:t>ответственные участники и объём ресурсов;</w:t>
      </w:r>
    </w:p>
    <w:p>
      <w:pPr>
        <w:numPr>
          <w:ilvl w:val="0"/>
          <w:numId w:val="19"/>
        </w:numPr>
        <w:spacing w:after="80" w:line="290" w:lineRule="auto"/>
      </w:pPr>
      <w:r>
        <w:rPr>
          <w:rFonts w:ascii="Calibri" w:hAnsi="Calibri" w:eastAsia="Calibri"/>
          <w:color w:val="18212B"/>
          <w:sz w:val="22"/>
        </w:rPr>
        <w:t>схема финансирования и показатели результата;</w:t>
      </w:r>
    </w:p>
    <w:p>
      <w:pPr>
        <w:numPr>
          <w:ilvl w:val="0"/>
          <w:numId w:val="19"/>
        </w:numPr>
        <w:spacing w:after="80" w:line="290" w:lineRule="auto"/>
      </w:pPr>
      <w:r>
        <w:rPr>
          <w:rFonts w:ascii="Calibri" w:hAnsi="Calibri" w:eastAsia="Calibri"/>
          <w:color w:val="18212B"/>
          <w:sz w:val="22"/>
        </w:rPr>
        <w:t>методика мониторинга, отчётности и верификации;</w:t>
      </w:r>
    </w:p>
    <w:p>
      <w:pPr>
        <w:numPr>
          <w:ilvl w:val="0"/>
          <w:numId w:val="19"/>
        </w:numPr>
        <w:spacing w:after="80" w:line="290" w:lineRule="auto"/>
      </w:pPr>
      <w:r>
        <w:rPr>
          <w:rFonts w:ascii="Calibri" w:hAnsi="Calibri" w:eastAsia="Calibri"/>
          <w:color w:val="18212B"/>
          <w:sz w:val="22"/>
        </w:rPr>
        <w:t>сроки, основания для продолжения и стоп-условия;</w:t>
      </w:r>
    </w:p>
    <w:p>
      <w:pPr>
        <w:numPr>
          <w:ilvl w:val="0"/>
          <w:numId w:val="19"/>
        </w:numPr>
        <w:spacing w:after="80" w:line="290" w:lineRule="auto"/>
      </w:pPr>
      <w:r>
        <w:rPr>
          <w:rFonts w:ascii="Calibri" w:hAnsi="Calibri" w:eastAsia="Calibri"/>
          <w:color w:val="18212B"/>
          <w:sz w:val="22"/>
        </w:rPr>
        <w:t>остаточный риск и правила доступа к данным.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c>
          <w:tcPr>
            <w:tcW w:type="dxa" w:w="93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EEF6F2"/>
          </w:tcPr>
          <w:p>
            <w:pPr>
              <w:spacing w:before="60" w:after="60" w:line="276" w:lineRule="auto"/>
            </w:pPr>
            <w:r>
              <w:rPr>
                <w:rFonts w:ascii="Calibri" w:hAnsi="Calibri" w:eastAsia="Calibri"/>
                <w:b/>
                <w:color w:val="4E8B73"/>
                <w:sz w:val="19"/>
              </w:rPr>
              <w:t xml:space="preserve">ДОКАЗАТЕЛЬНЫЙ ЦИКЛ  </w:t>
            </w:r>
            <w:r>
              <w:rPr>
                <w:rFonts w:ascii="Calibri" w:hAnsi="Calibri" w:eastAsia="Calibri"/>
                <w:color w:val="18212B"/>
                <w:sz w:val="21"/>
              </w:rPr>
              <w:t>наблюдение → паспорт проблемы → проект вмешательства → исполнение → независимая проверка → масштабирование</w:t>
            </w:r>
          </w:p>
        </w:tc>
      </w:tr>
    </w:tbl>
    <w:p>
      <w:pPr>
        <w:spacing w:after="20"/>
      </w:pPr>
    </w:p>
    <w:p>
      <w:bookmarkStart w:id="13" w:name="section_13"/>
      <w:pPr>
        <w:pStyle w:val="Heading1"/>
        <w:keepNext/>
        <w:pageBreakBefore w:val="0"/>
      </w:pPr>
      <w:r>
        <w:rPr>
          <w:rFonts w:ascii="Calibri" w:hAnsi="Calibri" w:eastAsia="Calibri"/>
          <w:b/>
          <w:color w:val="2E74B5"/>
          <w:sz w:val="32"/>
        </w:rPr>
        <w:t>13. Распределение ролей</w:t>
      </w:r>
      <w:bookmarkEnd w:id="13"/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jc w:val="left"/>
        <w:tblInd w:w="120" w:type="dxa"/>
      </w:tblPr>
      <w:tblGrid>
        <w:gridCol w:w="2450"/>
        <w:gridCol w:w="6910"/>
      </w:tblGrid>
      <w:tr>
        <w:trPr>
          <w:tblHeader w:val="true"/>
        </w:trPr>
        <w:tc>
          <w:tcPr>
            <w:tcW w:type="dxa" w:w="24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0B2545"/>
          </w:tcPr>
          <w:p>
            <w:pPr>
              <w:spacing w:after="0" w:line="252" w:lineRule="auto"/>
              <w:jc w:val="center"/>
            </w:pPr>
            <w:r>
              <w:rPr>
                <w:rFonts w:ascii="Calibri" w:hAnsi="Calibri" w:eastAsia="Calibri"/>
                <w:b/>
                <w:color w:val="FFFFFF"/>
                <w:sz w:val="18"/>
              </w:rPr>
              <w:t>Участник</w:t>
            </w:r>
          </w:p>
        </w:tc>
        <w:tc>
          <w:tcPr>
            <w:tcW w:type="dxa" w:w="691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0B2545"/>
          </w:tcPr>
          <w:p>
            <w:pPr>
              <w:spacing w:after="0" w:line="252" w:lineRule="auto"/>
              <w:jc w:val="center"/>
            </w:pPr>
            <w:r>
              <w:rPr>
                <w:rFonts w:ascii="Calibri" w:hAnsi="Calibri" w:eastAsia="Calibri"/>
                <w:b/>
                <w:color w:val="FFFFFF"/>
                <w:sz w:val="18"/>
              </w:rPr>
              <w:t>Основная роль</w:t>
            </w:r>
          </w:p>
        </w:tc>
      </w:tr>
      <w:tr>
        <w:tc>
          <w:tcPr>
            <w:tcW w:type="dxa" w:w="24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>
              <w:rPr>
                <w:rFonts w:ascii="Calibri" w:hAnsi="Calibri" w:eastAsia="Calibri"/>
                <w:b/>
                <w:color w:val="18212B"/>
                <w:sz w:val="17"/>
              </w:rPr>
              <w:t>ЭКВИЛИБРИУМ</w:t>
            </w:r>
          </w:p>
        </w:tc>
        <w:tc>
          <w:tcPr>
            <w:tcW w:type="dxa" w:w="691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>
              <w:rPr>
                <w:rFonts w:ascii="Calibri" w:hAnsi="Calibri" w:eastAsia="Calibri"/>
                <w:b w:val="0"/>
                <w:color w:val="18212B"/>
                <w:sz w:val="17"/>
              </w:rPr>
              <w:t>Единая модель данных, гиперграф, цифровой двойник, прогноз, реестр событий и доказательств.</w:t>
            </w:r>
          </w:p>
        </w:tc>
      </w:tr>
      <w:tr>
        <w:tc>
          <w:tcPr>
            <w:tcW w:type="dxa" w:w="24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7FAFC"/>
          </w:tcPr>
          <w:p>
            <w:pPr>
              <w:spacing w:before="0" w:after="0" w:line="252" w:lineRule="auto"/>
              <w:jc w:val="left"/>
            </w:pPr>
            <w:r>
              <w:rPr>
                <w:rFonts w:ascii="Calibri" w:hAnsi="Calibri" w:eastAsia="Calibri"/>
                <w:b/>
                <w:color w:val="18212B"/>
                <w:sz w:val="17"/>
              </w:rPr>
              <w:t>ECO-PPA</w:t>
            </w:r>
          </w:p>
        </w:tc>
        <w:tc>
          <w:tcPr>
            <w:tcW w:type="dxa" w:w="691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7FAFC"/>
          </w:tcPr>
          <w:p>
            <w:pPr>
              <w:spacing w:before="0" w:after="0" w:line="252" w:lineRule="auto"/>
              <w:jc w:val="left"/>
            </w:pPr>
            <w:r>
              <w:rPr>
                <w:rFonts w:ascii="Calibri" w:hAnsi="Calibri" w:eastAsia="Calibri"/>
                <w:b w:val="0"/>
                <w:color w:val="18212B"/>
                <w:sz w:val="17"/>
              </w:rPr>
              <w:t>Проекты вмешательства, объединение ресурсов, KPI, мониторинг результата и независимая верификация.</w:t>
            </w:r>
          </w:p>
        </w:tc>
      </w:tr>
      <w:tr>
        <w:tc>
          <w:tcPr>
            <w:tcW w:type="dxa" w:w="24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>
              <w:rPr>
                <w:rFonts w:ascii="Calibri" w:hAnsi="Calibri" w:eastAsia="Calibri"/>
                <w:b/>
                <w:color w:val="18212B"/>
                <w:sz w:val="17"/>
              </w:rPr>
              <w:t>СПЕЦЗАЩИТА</w:t>
            </w:r>
          </w:p>
        </w:tc>
        <w:tc>
          <w:tcPr>
            <w:tcW w:type="dxa" w:w="691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>
              <w:rPr>
                <w:rFonts w:ascii="Calibri" w:hAnsi="Calibri" w:eastAsia="Calibri"/>
                <w:b w:val="0"/>
                <w:color w:val="18212B"/>
                <w:sz w:val="17"/>
              </w:rPr>
              <w:t>Оператор исполнения: обследования, сеть, мобильные группы, взаимодействие с предприятиями и мероприятия.</w:t>
            </w:r>
          </w:p>
        </w:tc>
      </w:tr>
      <w:tr>
        <w:tc>
          <w:tcPr>
            <w:tcW w:type="dxa" w:w="24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7FAFC"/>
          </w:tcPr>
          <w:p>
            <w:pPr>
              <w:spacing w:before="0" w:after="0" w:line="252" w:lineRule="auto"/>
              <w:jc w:val="left"/>
            </w:pPr>
            <w:r>
              <w:rPr>
                <w:rFonts w:ascii="Calibri" w:hAnsi="Calibri" w:eastAsia="Calibri"/>
                <w:b/>
                <w:color w:val="18212B"/>
                <w:sz w:val="17"/>
              </w:rPr>
              <w:t>Органы власти</w:t>
            </w:r>
          </w:p>
        </w:tc>
        <w:tc>
          <w:tcPr>
            <w:tcW w:type="dxa" w:w="691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7FAFC"/>
          </w:tcPr>
          <w:p>
            <w:pPr>
              <w:spacing w:before="0" w:after="0" w:line="252" w:lineRule="auto"/>
              <w:jc w:val="left"/>
            </w:pPr>
            <w:r>
              <w:rPr>
                <w:rFonts w:ascii="Calibri" w:hAnsi="Calibri" w:eastAsia="Calibri"/>
                <w:b w:val="0"/>
                <w:color w:val="18212B"/>
                <w:sz w:val="17"/>
              </w:rPr>
              <w:t>Официальные решения, предупреждения и действия строго в пределах компетенции.</w:t>
            </w:r>
          </w:p>
        </w:tc>
      </w:tr>
      <w:tr>
        <w:tc>
          <w:tcPr>
            <w:tcW w:type="dxa" w:w="24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>
              <w:rPr>
                <w:rFonts w:ascii="Calibri" w:hAnsi="Calibri" w:eastAsia="Calibri"/>
                <w:b/>
                <w:color w:val="18212B"/>
                <w:sz w:val="17"/>
              </w:rPr>
              <w:t>Научный совет</w:t>
            </w:r>
          </w:p>
        </w:tc>
        <w:tc>
          <w:tcPr>
            <w:tcW w:type="dxa" w:w="691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>
              <w:rPr>
                <w:rFonts w:ascii="Calibri" w:hAnsi="Calibri" w:eastAsia="Calibri"/>
                <w:b w:val="0"/>
                <w:color w:val="18212B"/>
                <w:sz w:val="17"/>
              </w:rPr>
              <w:t>Методики, пороги, научная корректность и пересмотр моделей.</w:t>
            </w:r>
          </w:p>
        </w:tc>
      </w:tr>
      <w:tr>
        <w:tc>
          <w:tcPr>
            <w:tcW w:type="dxa" w:w="24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7FAFC"/>
          </w:tcPr>
          <w:p>
            <w:pPr>
              <w:spacing w:before="0" w:after="0" w:line="252" w:lineRule="auto"/>
              <w:jc w:val="left"/>
            </w:pPr>
            <w:r>
              <w:rPr>
                <w:rFonts w:ascii="Calibri" w:hAnsi="Calibri" w:eastAsia="Calibri"/>
                <w:b/>
                <w:color w:val="18212B"/>
                <w:sz w:val="17"/>
              </w:rPr>
              <w:t>Лаборатории</w:t>
            </w:r>
          </w:p>
        </w:tc>
        <w:tc>
          <w:tcPr>
            <w:tcW w:type="dxa" w:w="691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7FAFC"/>
          </w:tcPr>
          <w:p>
            <w:pPr>
              <w:spacing w:before="0" w:after="0" w:line="252" w:lineRule="auto"/>
              <w:jc w:val="left"/>
            </w:pPr>
            <w:r>
              <w:rPr>
                <w:rFonts w:ascii="Calibri" w:hAnsi="Calibri" w:eastAsia="Calibri"/>
                <w:b w:val="0"/>
                <w:color w:val="18212B"/>
                <w:sz w:val="17"/>
              </w:rPr>
              <w:t>Подтверждающие исследования, контроль качества и цепочка хранения.</w:t>
            </w:r>
          </w:p>
        </w:tc>
      </w:tr>
      <w:tr>
        <w:tc>
          <w:tcPr>
            <w:tcW w:type="dxa" w:w="24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>
              <w:rPr>
                <w:rFonts w:ascii="Calibri" w:hAnsi="Calibri" w:eastAsia="Calibri"/>
                <w:b/>
                <w:color w:val="18212B"/>
                <w:sz w:val="17"/>
              </w:rPr>
              <w:t>Владельцы источников</w:t>
            </w:r>
          </w:p>
        </w:tc>
        <w:tc>
          <w:tcPr>
            <w:tcW w:type="dxa" w:w="691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>
              <w:rPr>
                <w:rFonts w:ascii="Calibri" w:hAnsi="Calibri" w:eastAsia="Calibri"/>
                <w:b w:val="0"/>
                <w:color w:val="18212B"/>
                <w:sz w:val="17"/>
              </w:rPr>
              <w:t>Данные, профилактика, устранение причин и выполнение предписанных мер.</w:t>
            </w:r>
          </w:p>
        </w:tc>
      </w:tr>
      <w:tr>
        <w:tc>
          <w:tcPr>
            <w:tcW w:type="dxa" w:w="24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7FAFC"/>
          </w:tcPr>
          <w:p>
            <w:pPr>
              <w:spacing w:before="0" w:after="0" w:line="252" w:lineRule="auto"/>
              <w:jc w:val="left"/>
            </w:pPr>
            <w:r>
              <w:rPr>
                <w:rFonts w:ascii="Calibri" w:hAnsi="Calibri" w:eastAsia="Calibri"/>
                <w:b/>
                <w:color w:val="18212B"/>
                <w:sz w:val="17"/>
              </w:rPr>
              <w:t>Независимый верификатор</w:t>
            </w:r>
          </w:p>
        </w:tc>
        <w:tc>
          <w:tcPr>
            <w:tcW w:type="dxa" w:w="691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7FAFC"/>
          </w:tcPr>
          <w:p>
            <w:pPr>
              <w:spacing w:before="0" w:after="0" w:line="252" w:lineRule="auto"/>
              <w:jc w:val="left"/>
            </w:pPr>
            <w:r>
              <w:rPr>
                <w:rFonts w:ascii="Calibri" w:hAnsi="Calibri" w:eastAsia="Calibri"/>
                <w:b w:val="0"/>
                <w:color w:val="18212B"/>
                <w:sz w:val="17"/>
              </w:rPr>
              <w:t>Проверка результата мероприятий ECO-PPA.</w:t>
            </w:r>
          </w:p>
        </w:tc>
      </w:tr>
      <w:tr>
        <w:tc>
          <w:tcPr>
            <w:tcW w:type="dxa" w:w="24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>
              <w:rPr>
                <w:rFonts w:ascii="Calibri" w:hAnsi="Calibri" w:eastAsia="Calibri"/>
                <w:b/>
                <w:color w:val="18212B"/>
                <w:sz w:val="17"/>
              </w:rPr>
              <w:t>ИАЦ</w:t>
            </w:r>
          </w:p>
        </w:tc>
        <w:tc>
          <w:tcPr>
            <w:tcW w:type="dxa" w:w="691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>
              <w:rPr>
                <w:rFonts w:ascii="Calibri" w:hAnsi="Calibri" w:eastAsia="Calibri"/>
                <w:b w:val="0"/>
                <w:color w:val="18212B"/>
                <w:sz w:val="17"/>
              </w:rPr>
              <w:t>Межведомственная аналитика, подготовка решений и стратегическое масштабирование.</w:t>
            </w:r>
          </w:p>
        </w:tc>
      </w:tr>
    </w:tbl>
    <w:p>
      <w:pPr>
        <w:spacing w:after="40"/>
      </w:pP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c>
          <w:tcPr>
            <w:tcW w:type="dxa" w:w="93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DDEFF8"/>
          </w:tcPr>
          <w:p>
            <w:pPr>
              <w:spacing w:before="60" w:after="60" w:line="276" w:lineRule="auto"/>
            </w:pPr>
            <w:r>
              <w:rPr>
                <w:rFonts w:ascii="Calibri" w:hAnsi="Calibri" w:eastAsia="Calibri"/>
                <w:b/>
                <w:color w:val="0B2545"/>
                <w:sz w:val="19"/>
              </w:rPr>
              <w:t xml:space="preserve">ПРИНЦИП УПРАВЛЕНИЯ  </w:t>
            </w:r>
            <w:r>
              <w:rPr>
                <w:rFonts w:ascii="Calibri" w:hAnsi="Calibri" w:eastAsia="Calibri"/>
                <w:color w:val="18212B"/>
                <w:sz w:val="21"/>
              </w:rPr>
              <w:t>единая методология — распределённое наблюдение — ответственное исполнение — независимая проверка</w:t>
            </w:r>
          </w:p>
        </w:tc>
      </w:tr>
    </w:tbl>
    <w:p>
      <w:pPr>
        <w:spacing w:after="20"/>
      </w:pPr>
    </w:p>
    <w:p>
      <w:bookmarkStart w:id="14" w:name="section_14"/>
      <w:pPr>
        <w:pStyle w:val="Heading1"/>
        <w:keepNext/>
        <w:pageBreakBefore w:val="0"/>
      </w:pPr>
      <w:r>
        <w:rPr>
          <w:rFonts w:ascii="Calibri" w:hAnsi="Calibri" w:eastAsia="Calibri"/>
          <w:b/>
          <w:color w:val="2E74B5"/>
          <w:sz w:val="32"/>
        </w:rPr>
        <w:t>14. Пилот на 12 месяцев</w:t>
      </w:r>
      <w:bookmarkEnd w:id="14"/>
    </w:p>
    <w:p>
      <w:pPr>
        <w:spacing w:after="160" w:line="320" w:lineRule="auto"/>
        <w:jc w:val="both"/>
      </w:pPr>
      <w:r>
        <w:rPr>
          <w:rFonts w:ascii="Calibri" w:hAnsi="Calibri" w:eastAsia="Calibri"/>
          <w:color w:val="18212B"/>
          <w:sz w:val="22"/>
        </w:rPr>
        <w:t>Пилот выбирается на территории, где сочетаются жилые, природные, транспортные и производственные зоны, имеются чувствительные объекты, фоновая точка, лабораторный партнёр и готовность органов власти. Один год охватывает сезонный цикл, но не формирует многолетнюю климатическую норму.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jc w:val="left"/>
        <w:tblInd w:w="120" w:type="dxa"/>
      </w:tblPr>
      <w:tblGrid>
        <w:gridCol w:w="1100"/>
        <w:gridCol w:w="1850"/>
        <w:gridCol w:w="3850"/>
        <w:gridCol w:w="2560"/>
      </w:tblGrid>
      <w:tr>
        <w:trPr>
          <w:tblHeader w:val="true"/>
        </w:trPr>
        <w:tc>
          <w:tcPr>
            <w:tcW w:type="dxa" w:w="11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0B2545"/>
          </w:tcPr>
          <w:p>
            <w:pPr>
              <w:spacing w:after="0" w:line="252" w:lineRule="auto"/>
              <w:jc w:val="center"/>
            </w:pPr>
            <w:r>
              <w:rPr>
                <w:rFonts w:ascii="Calibri" w:hAnsi="Calibri" w:eastAsia="Calibri"/>
                <w:b/>
                <w:color w:val="FFFFFF"/>
                <w:sz w:val="18"/>
              </w:rPr>
              <w:t>Месяцы</w:t>
            </w:r>
          </w:p>
        </w:tc>
        <w:tc>
          <w:tcPr>
            <w:tcW w:type="dxa" w:w="18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0B2545"/>
          </w:tcPr>
          <w:p>
            <w:pPr>
              <w:spacing w:after="0" w:line="252" w:lineRule="auto"/>
              <w:jc w:val="center"/>
            </w:pPr>
            <w:r>
              <w:rPr>
                <w:rFonts w:ascii="Calibri" w:hAnsi="Calibri" w:eastAsia="Calibri"/>
                <w:b/>
                <w:color w:val="FFFFFF"/>
                <w:sz w:val="18"/>
              </w:rPr>
              <w:t>Этап</w:t>
            </w:r>
          </w:p>
        </w:tc>
        <w:tc>
          <w:tcPr>
            <w:tcW w:type="dxa" w:w="38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0B2545"/>
          </w:tcPr>
          <w:p>
            <w:pPr>
              <w:spacing w:after="0" w:line="252" w:lineRule="auto"/>
              <w:jc w:val="center"/>
            </w:pPr>
            <w:r>
              <w:rPr>
                <w:rFonts w:ascii="Calibri" w:hAnsi="Calibri" w:eastAsia="Calibri"/>
                <w:b/>
                <w:color w:val="FFFFFF"/>
                <w:sz w:val="18"/>
              </w:rPr>
              <w:t>Ключевые работы</w:t>
            </w:r>
          </w:p>
        </w:tc>
        <w:tc>
          <w:tcPr>
            <w:tcW w:type="dxa" w:w="25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0B2545"/>
          </w:tcPr>
          <w:p>
            <w:pPr>
              <w:spacing w:after="0" w:line="252" w:lineRule="auto"/>
              <w:jc w:val="center"/>
            </w:pPr>
            <w:r>
              <w:rPr>
                <w:rFonts w:ascii="Calibri" w:hAnsi="Calibri" w:eastAsia="Calibri"/>
                <w:b/>
                <w:color w:val="FFFFFF"/>
                <w:sz w:val="18"/>
              </w:rPr>
              <w:t>Результат</w:t>
            </w:r>
          </w:p>
        </w:tc>
      </w:tr>
      <w:tr>
        <w:tc>
          <w:tcPr>
            <w:tcW w:type="dxa" w:w="11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>
              <w:rPr>
                <w:rFonts w:ascii="Calibri" w:hAnsi="Calibri" w:eastAsia="Calibri"/>
                <w:b/>
                <w:color w:val="18212B"/>
                <w:sz w:val="16"/>
              </w:rPr>
              <w:t>1–2</w:t>
            </w:r>
          </w:p>
        </w:tc>
        <w:tc>
          <w:tcPr>
            <w:tcW w:type="dxa" w:w="18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>
              <w:rPr>
                <w:rFonts w:ascii="Calibri" w:hAnsi="Calibri" w:eastAsia="Calibri"/>
                <w:b w:val="0"/>
                <w:color w:val="18212B"/>
                <w:sz w:val="16"/>
              </w:rPr>
              <w:t>Проектирование</w:t>
            </w:r>
          </w:p>
        </w:tc>
        <w:tc>
          <w:tcPr>
            <w:tcW w:type="dxa" w:w="38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>
              <w:rPr>
                <w:rFonts w:ascii="Calibri" w:hAnsi="Calibri" w:eastAsia="Calibri"/>
                <w:b w:val="0"/>
                <w:color w:val="18212B"/>
                <w:sz w:val="16"/>
              </w:rPr>
              <w:t>Карта источников и рецепторов; протокол; план качества; соглашения</w:t>
            </w:r>
          </w:p>
        </w:tc>
        <w:tc>
          <w:tcPr>
            <w:tcW w:type="dxa" w:w="25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>
              <w:rPr>
                <w:rFonts w:ascii="Calibri" w:hAnsi="Calibri" w:eastAsia="Calibri"/>
                <w:b w:val="0"/>
                <w:color w:val="18212B"/>
                <w:sz w:val="16"/>
              </w:rPr>
              <w:t>Паспорт пилота</w:t>
            </w:r>
          </w:p>
        </w:tc>
      </w:tr>
      <w:tr>
        <w:tc>
          <w:tcPr>
            <w:tcW w:type="dxa" w:w="11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7FAFC"/>
          </w:tcPr>
          <w:p>
            <w:pPr>
              <w:spacing w:before="0" w:after="0" w:line="252" w:lineRule="auto"/>
              <w:jc w:val="left"/>
            </w:pPr>
            <w:r>
              <w:rPr>
                <w:rFonts w:ascii="Calibri" w:hAnsi="Calibri" w:eastAsia="Calibri"/>
                <w:b/>
                <w:color w:val="18212B"/>
                <w:sz w:val="16"/>
              </w:rPr>
              <w:t>3–4</w:t>
            </w:r>
          </w:p>
        </w:tc>
        <w:tc>
          <w:tcPr>
            <w:tcW w:type="dxa" w:w="18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7FAFC"/>
          </w:tcPr>
          <w:p>
            <w:pPr>
              <w:spacing w:before="0" w:after="0" w:line="252" w:lineRule="auto"/>
              <w:jc w:val="left"/>
            </w:pPr>
            <w:r>
              <w:rPr>
                <w:rFonts w:ascii="Calibri" w:hAnsi="Calibri" w:eastAsia="Calibri"/>
                <w:b w:val="0"/>
                <w:color w:val="18212B"/>
                <w:sz w:val="16"/>
              </w:rPr>
              <w:t>Развёртывание</w:t>
            </w:r>
          </w:p>
        </w:tc>
        <w:tc>
          <w:tcPr>
            <w:tcW w:type="dxa" w:w="38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7FAFC"/>
          </w:tcPr>
          <w:p>
            <w:pPr>
              <w:spacing w:before="0" w:after="0" w:line="252" w:lineRule="auto"/>
              <w:jc w:val="left"/>
            </w:pPr>
            <w:r>
              <w:rPr>
                <w:rFonts w:ascii="Calibri" w:hAnsi="Calibri" w:eastAsia="Calibri"/>
                <w:b w:val="0"/>
                <w:color w:val="18212B"/>
                <w:sz w:val="16"/>
              </w:rPr>
              <w:t>Монтаж, лаборатории, платформа, совместное размещение датчиков</w:t>
            </w:r>
          </w:p>
        </w:tc>
        <w:tc>
          <w:tcPr>
            <w:tcW w:type="dxa" w:w="25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7FAFC"/>
          </w:tcPr>
          <w:p>
            <w:pPr>
              <w:spacing w:before="0" w:after="0" w:line="252" w:lineRule="auto"/>
              <w:jc w:val="left"/>
            </w:pPr>
            <w:r>
              <w:rPr>
                <w:rFonts w:ascii="Calibri" w:hAnsi="Calibri" w:eastAsia="Calibri"/>
                <w:b w:val="0"/>
                <w:color w:val="18212B"/>
                <w:sz w:val="16"/>
              </w:rPr>
              <w:t>Работающий контур</w:t>
            </w:r>
          </w:p>
        </w:tc>
      </w:tr>
      <w:tr>
        <w:tc>
          <w:tcPr>
            <w:tcW w:type="dxa" w:w="11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>
              <w:rPr>
                <w:rFonts w:ascii="Calibri" w:hAnsi="Calibri" w:eastAsia="Calibri"/>
                <w:b/>
                <w:color w:val="18212B"/>
                <w:sz w:val="16"/>
              </w:rPr>
              <w:t>5–6</w:t>
            </w:r>
          </w:p>
        </w:tc>
        <w:tc>
          <w:tcPr>
            <w:tcW w:type="dxa" w:w="18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>
              <w:rPr>
                <w:rFonts w:ascii="Calibri" w:hAnsi="Calibri" w:eastAsia="Calibri"/>
                <w:b w:val="0"/>
                <w:color w:val="18212B"/>
                <w:sz w:val="16"/>
              </w:rPr>
              <w:t>Ввод</w:t>
            </w:r>
          </w:p>
        </w:tc>
        <w:tc>
          <w:tcPr>
            <w:tcW w:type="dxa" w:w="38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>
              <w:rPr>
                <w:rFonts w:ascii="Calibri" w:hAnsi="Calibri" w:eastAsia="Calibri"/>
                <w:b w:val="0"/>
                <w:color w:val="18212B"/>
                <w:sz w:val="16"/>
              </w:rPr>
              <w:t>Калибровка, фоновые карты, пороги, тестовые уведомления</w:t>
            </w:r>
          </w:p>
        </w:tc>
        <w:tc>
          <w:tcPr>
            <w:tcW w:type="dxa" w:w="25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>
              <w:rPr>
                <w:rFonts w:ascii="Calibri" w:hAnsi="Calibri" w:eastAsia="Calibri"/>
                <w:b w:val="0"/>
                <w:color w:val="18212B"/>
                <w:sz w:val="16"/>
              </w:rPr>
              <w:t>Пригодность данных</w:t>
            </w:r>
          </w:p>
        </w:tc>
      </w:tr>
      <w:tr>
        <w:tc>
          <w:tcPr>
            <w:tcW w:type="dxa" w:w="11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7FAFC"/>
          </w:tcPr>
          <w:p>
            <w:pPr>
              <w:spacing w:before="0" w:after="0" w:line="252" w:lineRule="auto"/>
              <w:jc w:val="left"/>
            </w:pPr>
            <w:r>
              <w:rPr>
                <w:rFonts w:ascii="Calibri" w:hAnsi="Calibri" w:eastAsia="Calibri"/>
                <w:b/>
                <w:color w:val="18212B"/>
                <w:sz w:val="16"/>
              </w:rPr>
              <w:t>7–8</w:t>
            </w:r>
          </w:p>
        </w:tc>
        <w:tc>
          <w:tcPr>
            <w:tcW w:type="dxa" w:w="18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7FAFC"/>
          </w:tcPr>
          <w:p>
            <w:pPr>
              <w:spacing w:before="0" w:after="0" w:line="252" w:lineRule="auto"/>
              <w:jc w:val="left"/>
            </w:pPr>
            <w:r>
              <w:rPr>
                <w:rFonts w:ascii="Calibri" w:hAnsi="Calibri" w:eastAsia="Calibri"/>
                <w:b w:val="0"/>
                <w:color w:val="18212B"/>
                <w:sz w:val="16"/>
              </w:rPr>
              <w:t>Аналитика</w:t>
            </w:r>
          </w:p>
        </w:tc>
        <w:tc>
          <w:tcPr>
            <w:tcW w:type="dxa" w:w="38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7FAFC"/>
          </w:tcPr>
          <w:p>
            <w:pPr>
              <w:spacing w:before="0" w:after="0" w:line="252" w:lineRule="auto"/>
              <w:jc w:val="left"/>
            </w:pPr>
            <w:r>
              <w:rPr>
                <w:rFonts w:ascii="Calibri" w:hAnsi="Calibri" w:eastAsia="Calibri"/>
                <w:b w:val="0"/>
                <w:color w:val="18212B"/>
                <w:sz w:val="16"/>
              </w:rPr>
              <w:t>Сезонный профиль, источники, экспозиция, модель переноса</w:t>
            </w:r>
          </w:p>
        </w:tc>
        <w:tc>
          <w:tcPr>
            <w:tcW w:type="dxa" w:w="25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7FAFC"/>
          </w:tcPr>
          <w:p>
            <w:pPr>
              <w:spacing w:before="0" w:after="0" w:line="252" w:lineRule="auto"/>
              <w:jc w:val="left"/>
            </w:pPr>
            <w:r>
              <w:rPr>
                <w:rFonts w:ascii="Calibri" w:hAnsi="Calibri" w:eastAsia="Calibri"/>
                <w:b w:val="0"/>
                <w:color w:val="18212B"/>
                <w:sz w:val="16"/>
              </w:rPr>
              <w:t>Модель территории</w:t>
            </w:r>
          </w:p>
        </w:tc>
      </w:tr>
      <w:tr>
        <w:tc>
          <w:tcPr>
            <w:tcW w:type="dxa" w:w="11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>
              <w:rPr>
                <w:rFonts w:ascii="Calibri" w:hAnsi="Calibri" w:eastAsia="Calibri"/>
                <w:b/>
                <w:color w:val="18212B"/>
                <w:sz w:val="16"/>
              </w:rPr>
              <w:t>9–10</w:t>
            </w:r>
          </w:p>
        </w:tc>
        <w:tc>
          <w:tcPr>
            <w:tcW w:type="dxa" w:w="18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>
              <w:rPr>
                <w:rFonts w:ascii="Calibri" w:hAnsi="Calibri" w:eastAsia="Calibri"/>
                <w:b w:val="0"/>
                <w:color w:val="18212B"/>
                <w:sz w:val="16"/>
              </w:rPr>
              <w:t>Вмешательства</w:t>
            </w:r>
          </w:p>
        </w:tc>
        <w:tc>
          <w:tcPr>
            <w:tcW w:type="dxa" w:w="38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>
              <w:rPr>
                <w:rFonts w:ascii="Calibri" w:hAnsi="Calibri" w:eastAsia="Calibri"/>
                <w:b w:val="0"/>
                <w:color w:val="18212B"/>
                <w:sz w:val="16"/>
              </w:rPr>
              <w:t>2–3 проекта: пыль, источник, фильтрация или пыльца</w:t>
            </w:r>
          </w:p>
        </w:tc>
        <w:tc>
          <w:tcPr>
            <w:tcW w:type="dxa" w:w="25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>
              <w:rPr>
                <w:rFonts w:ascii="Calibri" w:hAnsi="Calibri" w:eastAsia="Calibri"/>
                <w:b w:val="0"/>
                <w:color w:val="18212B"/>
                <w:sz w:val="16"/>
              </w:rPr>
              <w:t>Доказательство управляемости</w:t>
            </w:r>
          </w:p>
        </w:tc>
      </w:tr>
      <w:tr>
        <w:tc>
          <w:tcPr>
            <w:tcW w:type="dxa" w:w="11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7FAFC"/>
          </w:tcPr>
          <w:p>
            <w:pPr>
              <w:spacing w:before="0" w:after="0" w:line="252" w:lineRule="auto"/>
              <w:jc w:val="left"/>
            </w:pPr>
            <w:r>
              <w:rPr>
                <w:rFonts w:ascii="Calibri" w:hAnsi="Calibri" w:eastAsia="Calibri"/>
                <w:b/>
                <w:color w:val="18212B"/>
                <w:sz w:val="16"/>
              </w:rPr>
              <w:t>11</w:t>
            </w:r>
          </w:p>
        </w:tc>
        <w:tc>
          <w:tcPr>
            <w:tcW w:type="dxa" w:w="18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7FAFC"/>
          </w:tcPr>
          <w:p>
            <w:pPr>
              <w:spacing w:before="0" w:after="0" w:line="252" w:lineRule="auto"/>
              <w:jc w:val="left"/>
            </w:pPr>
            <w:r>
              <w:rPr>
                <w:rFonts w:ascii="Calibri" w:hAnsi="Calibri" w:eastAsia="Calibri"/>
                <w:b w:val="0"/>
                <w:color w:val="18212B"/>
                <w:sz w:val="16"/>
              </w:rPr>
              <w:t>Учения и аудит</w:t>
            </w:r>
          </w:p>
        </w:tc>
        <w:tc>
          <w:tcPr>
            <w:tcW w:type="dxa" w:w="38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7FAFC"/>
          </w:tcPr>
          <w:p>
            <w:pPr>
              <w:spacing w:before="0" w:after="0" w:line="252" w:lineRule="auto"/>
              <w:jc w:val="left"/>
            </w:pPr>
            <w:r>
              <w:rPr>
                <w:rFonts w:ascii="Calibri" w:hAnsi="Calibri" w:eastAsia="Calibri"/>
                <w:b w:val="0"/>
                <w:color w:val="18212B"/>
                <w:sz w:val="16"/>
              </w:rPr>
              <w:t>Химический и биологический сценарии, проверка реакции</w:t>
            </w:r>
          </w:p>
        </w:tc>
        <w:tc>
          <w:tcPr>
            <w:tcW w:type="dxa" w:w="25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7FAFC"/>
          </w:tcPr>
          <w:p>
            <w:pPr>
              <w:spacing w:before="0" w:after="0" w:line="252" w:lineRule="auto"/>
              <w:jc w:val="left"/>
            </w:pPr>
            <w:r>
              <w:rPr>
                <w:rFonts w:ascii="Calibri" w:hAnsi="Calibri" w:eastAsia="Calibri"/>
                <w:b w:val="0"/>
                <w:color w:val="18212B"/>
                <w:sz w:val="16"/>
              </w:rPr>
              <w:t>Операционная готовность</w:t>
            </w:r>
          </w:p>
        </w:tc>
      </w:tr>
      <w:tr>
        <w:tc>
          <w:tcPr>
            <w:tcW w:type="dxa" w:w="11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>
              <w:rPr>
                <w:rFonts w:ascii="Calibri" w:hAnsi="Calibri" w:eastAsia="Calibri"/>
                <w:b/>
                <w:color w:val="18212B"/>
                <w:sz w:val="16"/>
              </w:rPr>
              <w:t>12</w:t>
            </w:r>
          </w:p>
        </w:tc>
        <w:tc>
          <w:tcPr>
            <w:tcW w:type="dxa" w:w="18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>
              <w:rPr>
                <w:rFonts w:ascii="Calibri" w:hAnsi="Calibri" w:eastAsia="Calibri"/>
                <w:b w:val="0"/>
                <w:color w:val="18212B"/>
                <w:sz w:val="16"/>
              </w:rPr>
              <w:t>Итог</w:t>
            </w:r>
          </w:p>
        </w:tc>
        <w:tc>
          <w:tcPr>
            <w:tcW w:type="dxa" w:w="38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>
              <w:rPr>
                <w:rFonts w:ascii="Calibri" w:hAnsi="Calibri" w:eastAsia="Calibri"/>
                <w:b w:val="0"/>
                <w:color w:val="18212B"/>
                <w:sz w:val="16"/>
              </w:rPr>
              <w:t>Отчёт, экономика, стандарты и архитектура второго этапа</w:t>
            </w:r>
          </w:p>
        </w:tc>
        <w:tc>
          <w:tcPr>
            <w:tcW w:type="dxa" w:w="25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>
              <w:rPr>
                <w:rFonts w:ascii="Calibri" w:hAnsi="Calibri" w:eastAsia="Calibri"/>
                <w:b w:val="0"/>
                <w:color w:val="18212B"/>
                <w:sz w:val="16"/>
              </w:rPr>
              <w:t>Пакет тиражирования</w:t>
            </w:r>
          </w:p>
        </w:tc>
      </w:tr>
    </w:tbl>
    <w:p>
      <w:pPr>
        <w:spacing w:after="40"/>
      </w:pPr>
    </w:p>
    <w:p>
      <w:pPr>
        <w:pStyle w:val="Heading2"/>
        <w:keepNext/>
      </w:pPr>
      <w:r>
        <w:rPr>
          <w:rFonts w:ascii="Calibri" w:hAnsi="Calibri" w:eastAsia="Calibri"/>
          <w:b/>
          <w:color w:val="2E74B5"/>
          <w:sz w:val="26"/>
        </w:rPr>
        <w:t>Предлагаемые зоны пилота</w:t>
      </w:r>
    </w:p>
    <w:p>
      <w:pPr>
        <w:numPr>
          <w:ilvl w:val="0"/>
          <w:numId w:val="10"/>
        </w:numPr>
        <w:spacing w:after="80" w:line="290" w:lineRule="auto"/>
      </w:pPr>
      <w:r>
        <w:rPr>
          <w:rFonts w:ascii="Calibri" w:hAnsi="Calibri" w:eastAsia="Calibri"/>
          <w:color w:val="18212B"/>
          <w:sz w:val="22"/>
        </w:rPr>
        <w:t>фоновая природная точка;</w:t>
      </w:r>
    </w:p>
    <w:p>
      <w:pPr>
        <w:numPr>
          <w:ilvl w:val="0"/>
          <w:numId w:val="10"/>
        </w:numPr>
        <w:spacing w:after="80" w:line="290" w:lineRule="auto"/>
      </w:pPr>
      <w:r>
        <w:rPr>
          <w:rFonts w:ascii="Calibri" w:hAnsi="Calibri" w:eastAsia="Calibri"/>
          <w:color w:val="18212B"/>
          <w:sz w:val="22"/>
        </w:rPr>
        <w:t>жилая и общественная зона;</w:t>
      </w:r>
    </w:p>
    <w:p>
      <w:pPr>
        <w:numPr>
          <w:ilvl w:val="0"/>
          <w:numId w:val="10"/>
        </w:numPr>
        <w:spacing w:after="80" w:line="290" w:lineRule="auto"/>
      </w:pPr>
      <w:r>
        <w:rPr>
          <w:rFonts w:ascii="Calibri" w:hAnsi="Calibri" w:eastAsia="Calibri"/>
          <w:color w:val="18212B"/>
          <w:sz w:val="22"/>
        </w:rPr>
        <w:t>транспортный коридор;</w:t>
      </w:r>
    </w:p>
    <w:p>
      <w:pPr>
        <w:numPr>
          <w:ilvl w:val="0"/>
          <w:numId w:val="10"/>
        </w:numPr>
        <w:spacing w:after="80" w:line="290" w:lineRule="auto"/>
      </w:pPr>
      <w:r>
        <w:rPr>
          <w:rFonts w:ascii="Calibri" w:hAnsi="Calibri" w:eastAsia="Calibri"/>
          <w:color w:val="18212B"/>
          <w:sz w:val="22"/>
        </w:rPr>
        <w:t>промышленная или коммунальная зона;</w:t>
      </w:r>
    </w:p>
    <w:p>
      <w:pPr>
        <w:numPr>
          <w:ilvl w:val="0"/>
          <w:numId w:val="10"/>
        </w:numPr>
        <w:spacing w:after="80" w:line="290" w:lineRule="auto"/>
      </w:pPr>
      <w:r>
        <w:rPr>
          <w:rFonts w:ascii="Calibri" w:hAnsi="Calibri" w:eastAsia="Calibri"/>
          <w:color w:val="18212B"/>
          <w:sz w:val="22"/>
        </w:rPr>
        <w:t>сельскохозяйственный объект;</w:t>
      </w:r>
    </w:p>
    <w:p>
      <w:pPr>
        <w:numPr>
          <w:ilvl w:val="0"/>
          <w:numId w:val="10"/>
        </w:numPr>
        <w:spacing w:after="80" w:line="290" w:lineRule="auto"/>
      </w:pPr>
      <w:r>
        <w:rPr>
          <w:rFonts w:ascii="Calibri" w:hAnsi="Calibri" w:eastAsia="Calibri"/>
          <w:color w:val="18212B"/>
          <w:sz w:val="22"/>
        </w:rPr>
        <w:t>чувствительный рецептор — школа, больница или социальное учреждение.</w:t>
      </w:r>
    </w:p>
    <w:p>
      <w:bookmarkStart w:id="15" w:name="section_15"/>
      <w:pPr>
        <w:pStyle w:val="Heading1"/>
        <w:keepNext/>
        <w:pageBreakBefore w:val="0"/>
      </w:pPr>
      <w:r>
        <w:rPr>
          <w:rFonts w:ascii="Calibri" w:hAnsi="Calibri" w:eastAsia="Calibri"/>
          <w:b/>
          <w:color w:val="2E74B5"/>
          <w:sz w:val="32"/>
        </w:rPr>
        <w:t>15. KPI и доказательность</w:t>
      </w:r>
      <w:bookmarkEnd w:id="15"/>
    </w:p>
    <w:p>
      <w:pPr>
        <w:spacing w:after="160" w:line="320" w:lineRule="auto"/>
        <w:jc w:val="both"/>
      </w:pPr>
      <w:r>
        <w:rPr>
          <w:rFonts w:ascii="Calibri" w:hAnsi="Calibri" w:eastAsia="Calibri"/>
          <w:color w:val="18212B"/>
          <w:sz w:val="22"/>
        </w:rPr>
        <w:t>Ниже приведены проектные целевые значения для обсуждения. Они утверждаются после обследования территории, выбора оборудования и согласования методики.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jc w:val="left"/>
        <w:tblInd w:w="120" w:type="dxa"/>
      </w:tblPr>
      <w:tblGrid>
        <w:gridCol w:w="1900"/>
        <w:gridCol w:w="4250"/>
        <w:gridCol w:w="3210"/>
      </w:tblGrid>
      <w:tr>
        <w:trPr>
          <w:tblHeader w:val="true"/>
        </w:trPr>
        <w:tc>
          <w:tcPr>
            <w:tcW w:type="dxa" w:w="19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0B2545"/>
          </w:tcPr>
          <w:p>
            <w:pPr>
              <w:spacing w:after="0" w:line="252" w:lineRule="auto"/>
              <w:jc w:val="center"/>
            </w:pPr>
            <w:r>
              <w:rPr>
                <w:rFonts w:ascii="Calibri" w:hAnsi="Calibri" w:eastAsia="Calibri"/>
                <w:b/>
                <w:color w:val="FFFFFF"/>
                <w:sz w:val="18"/>
              </w:rPr>
              <w:t>Блок</w:t>
            </w:r>
          </w:p>
        </w:tc>
        <w:tc>
          <w:tcPr>
            <w:tcW w:type="dxa" w:w="42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0B2545"/>
          </w:tcPr>
          <w:p>
            <w:pPr>
              <w:spacing w:after="0" w:line="252" w:lineRule="auto"/>
              <w:jc w:val="center"/>
            </w:pPr>
            <w:r>
              <w:rPr>
                <w:rFonts w:ascii="Calibri" w:hAnsi="Calibri" w:eastAsia="Calibri"/>
                <w:b/>
                <w:color w:val="FFFFFF"/>
                <w:sz w:val="18"/>
              </w:rPr>
              <w:t>Проектная цель</w:t>
            </w:r>
          </w:p>
        </w:tc>
        <w:tc>
          <w:tcPr>
            <w:tcW w:type="dxa" w:w="321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0B2545"/>
          </w:tcPr>
          <w:p>
            <w:pPr>
              <w:spacing w:after="0" w:line="252" w:lineRule="auto"/>
              <w:jc w:val="center"/>
            </w:pPr>
            <w:r>
              <w:rPr>
                <w:rFonts w:ascii="Calibri" w:hAnsi="Calibri" w:eastAsia="Calibri"/>
                <w:b/>
                <w:color w:val="FFFFFF"/>
                <w:sz w:val="18"/>
              </w:rPr>
              <w:t>Способ подтверждения</w:t>
            </w:r>
          </w:p>
        </w:tc>
      </w:tr>
      <w:tr>
        <w:tc>
          <w:tcPr>
            <w:tcW w:type="dxa" w:w="19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>
              <w:rPr>
                <w:rFonts w:ascii="Calibri" w:hAnsi="Calibri" w:eastAsia="Calibri"/>
                <w:b/>
                <w:color w:val="18212B"/>
                <w:sz w:val="17"/>
              </w:rPr>
              <w:t>Технические</w:t>
            </w:r>
          </w:p>
        </w:tc>
        <w:tc>
          <w:tcPr>
            <w:tcW w:type="dxa" w:w="42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>
              <w:rPr>
                <w:rFonts w:ascii="Calibri" w:hAnsi="Calibri" w:eastAsia="Calibri"/>
                <w:b w:val="0"/>
                <w:color w:val="18212B"/>
                <w:sz w:val="17"/>
              </w:rPr>
              <w:t>≥90% валидных данных опорного контура; ≥95% обязательных метаданных</w:t>
            </w:r>
          </w:p>
        </w:tc>
        <w:tc>
          <w:tcPr>
            <w:tcW w:type="dxa" w:w="321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>
              <w:rPr>
                <w:rFonts w:ascii="Calibri" w:hAnsi="Calibri" w:eastAsia="Calibri"/>
                <w:b w:val="0"/>
                <w:color w:val="18212B"/>
                <w:sz w:val="17"/>
              </w:rPr>
              <w:t>Журнал качества и аудит</w:t>
            </w:r>
          </w:p>
        </w:tc>
      </w:tr>
      <w:tr>
        <w:tc>
          <w:tcPr>
            <w:tcW w:type="dxa" w:w="19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7FAFC"/>
          </w:tcPr>
          <w:p>
            <w:pPr>
              <w:spacing w:before="0" w:after="0" w:line="252" w:lineRule="auto"/>
              <w:jc w:val="left"/>
            </w:pPr>
            <w:r>
              <w:rPr>
                <w:rFonts w:ascii="Calibri" w:hAnsi="Calibri" w:eastAsia="Calibri"/>
                <w:b/>
                <w:color w:val="18212B"/>
                <w:sz w:val="17"/>
              </w:rPr>
              <w:t>Научные</w:t>
            </w:r>
          </w:p>
        </w:tc>
        <w:tc>
          <w:tcPr>
            <w:tcW w:type="dxa" w:w="42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7FAFC"/>
          </w:tcPr>
          <w:p>
            <w:pPr>
              <w:spacing w:before="0" w:after="0" w:line="252" w:lineRule="auto"/>
              <w:jc w:val="left"/>
            </w:pPr>
            <w:r>
              <w:rPr>
                <w:rFonts w:ascii="Calibri" w:hAnsi="Calibri" w:eastAsia="Calibri"/>
                <w:b w:val="0"/>
                <w:color w:val="18212B"/>
                <w:sz w:val="17"/>
              </w:rPr>
              <w:t>≥80% значимых событий подтверждены независимым каналом</w:t>
            </w:r>
          </w:p>
        </w:tc>
        <w:tc>
          <w:tcPr>
            <w:tcW w:type="dxa" w:w="321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7FAFC"/>
          </w:tcPr>
          <w:p>
            <w:pPr>
              <w:spacing w:before="0" w:after="0" w:line="252" w:lineRule="auto"/>
              <w:jc w:val="left"/>
            </w:pPr>
            <w:r>
              <w:rPr>
                <w:rFonts w:ascii="Calibri" w:hAnsi="Calibri" w:eastAsia="Calibri"/>
                <w:b w:val="0"/>
                <w:color w:val="18212B"/>
                <w:sz w:val="17"/>
              </w:rPr>
              <w:t>Референс-проверка</w:t>
            </w:r>
          </w:p>
        </w:tc>
      </w:tr>
      <w:tr>
        <w:tc>
          <w:tcPr>
            <w:tcW w:type="dxa" w:w="19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>
              <w:rPr>
                <w:rFonts w:ascii="Calibri" w:hAnsi="Calibri" w:eastAsia="Calibri"/>
                <w:b/>
                <w:color w:val="18212B"/>
                <w:sz w:val="17"/>
              </w:rPr>
              <w:t>Источники</w:t>
            </w:r>
          </w:p>
        </w:tc>
        <w:tc>
          <w:tcPr>
            <w:tcW w:type="dxa" w:w="42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>
              <w:rPr>
                <w:rFonts w:ascii="Calibri" w:hAnsi="Calibri" w:eastAsia="Calibri"/>
                <w:b w:val="0"/>
                <w:color w:val="18212B"/>
                <w:sz w:val="17"/>
              </w:rPr>
              <w:t>Класс источника определён минимум для 70% значимых эпизодов</w:t>
            </w:r>
          </w:p>
        </w:tc>
        <w:tc>
          <w:tcPr>
            <w:tcW w:type="dxa" w:w="321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>
              <w:rPr>
                <w:rFonts w:ascii="Calibri" w:hAnsi="Calibri" w:eastAsia="Calibri"/>
                <w:b w:val="0"/>
                <w:color w:val="18212B"/>
                <w:sz w:val="17"/>
              </w:rPr>
              <w:t>Траектории и профили</w:t>
            </w:r>
          </w:p>
        </w:tc>
      </w:tr>
      <w:tr>
        <w:tc>
          <w:tcPr>
            <w:tcW w:type="dxa" w:w="19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7FAFC"/>
          </w:tcPr>
          <w:p>
            <w:pPr>
              <w:spacing w:before="0" w:after="0" w:line="252" w:lineRule="auto"/>
              <w:jc w:val="left"/>
            </w:pPr>
            <w:r>
              <w:rPr>
                <w:rFonts w:ascii="Calibri" w:hAnsi="Calibri" w:eastAsia="Calibri"/>
                <w:b/>
                <w:color w:val="18212B"/>
                <w:sz w:val="17"/>
              </w:rPr>
              <w:t>Прогноз</w:t>
            </w:r>
          </w:p>
        </w:tc>
        <w:tc>
          <w:tcPr>
            <w:tcW w:type="dxa" w:w="42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7FAFC"/>
          </w:tcPr>
          <w:p>
            <w:pPr>
              <w:spacing w:before="0" w:after="0" w:line="252" w:lineRule="auto"/>
              <w:jc w:val="left"/>
            </w:pPr>
            <w:r>
              <w:rPr>
                <w:rFonts w:ascii="Calibri" w:hAnsi="Calibri" w:eastAsia="Calibri"/>
                <w:b w:val="0"/>
                <w:color w:val="18212B"/>
                <w:sz w:val="17"/>
              </w:rPr>
              <w:t>Основная зона воздействия прогнозируется на 6 часов</w:t>
            </w:r>
          </w:p>
        </w:tc>
        <w:tc>
          <w:tcPr>
            <w:tcW w:type="dxa" w:w="321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7FAFC"/>
          </w:tcPr>
          <w:p>
            <w:pPr>
              <w:spacing w:before="0" w:after="0" w:line="252" w:lineRule="auto"/>
              <w:jc w:val="left"/>
            </w:pPr>
            <w:r>
              <w:rPr>
                <w:rFonts w:ascii="Calibri" w:hAnsi="Calibri" w:eastAsia="Calibri"/>
                <w:b w:val="0"/>
                <w:color w:val="18212B"/>
                <w:sz w:val="17"/>
              </w:rPr>
              <w:t>Сравнение прогноза и факта</w:t>
            </w:r>
          </w:p>
        </w:tc>
      </w:tr>
      <w:tr>
        <w:tc>
          <w:tcPr>
            <w:tcW w:type="dxa" w:w="19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>
              <w:rPr>
                <w:rFonts w:ascii="Calibri" w:hAnsi="Calibri" w:eastAsia="Calibri"/>
                <w:b/>
                <w:color w:val="18212B"/>
                <w:sz w:val="17"/>
              </w:rPr>
              <w:t>Операции</w:t>
            </w:r>
          </w:p>
        </w:tc>
        <w:tc>
          <w:tcPr>
            <w:tcW w:type="dxa" w:w="42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>
              <w:rPr>
                <w:rFonts w:ascii="Calibri" w:hAnsi="Calibri" w:eastAsia="Calibri"/>
                <w:b w:val="0"/>
                <w:color w:val="18212B"/>
                <w:sz w:val="17"/>
              </w:rPr>
              <w:t>Первичная оценка оранжевого события — до 30 минут</w:t>
            </w:r>
          </w:p>
        </w:tc>
        <w:tc>
          <w:tcPr>
            <w:tcW w:type="dxa" w:w="321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>
              <w:rPr>
                <w:rFonts w:ascii="Calibri" w:hAnsi="Calibri" w:eastAsia="Calibri"/>
                <w:b w:val="0"/>
                <w:color w:val="18212B"/>
                <w:sz w:val="17"/>
              </w:rPr>
              <w:t>Журнал событий</w:t>
            </w:r>
          </w:p>
        </w:tc>
      </w:tr>
      <w:tr>
        <w:tc>
          <w:tcPr>
            <w:tcW w:type="dxa" w:w="19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7FAFC"/>
          </w:tcPr>
          <w:p>
            <w:pPr>
              <w:spacing w:before="0" w:after="0" w:line="252" w:lineRule="auto"/>
              <w:jc w:val="left"/>
            </w:pPr>
            <w:r>
              <w:rPr>
                <w:rFonts w:ascii="Calibri" w:hAnsi="Calibri" w:eastAsia="Calibri"/>
                <w:b/>
                <w:color w:val="18212B"/>
                <w:sz w:val="17"/>
              </w:rPr>
              <w:t>Вмешательства</w:t>
            </w:r>
          </w:p>
        </w:tc>
        <w:tc>
          <w:tcPr>
            <w:tcW w:type="dxa" w:w="42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7FAFC"/>
          </w:tcPr>
          <w:p>
            <w:pPr>
              <w:spacing w:before="0" w:after="0" w:line="252" w:lineRule="auto"/>
              <w:jc w:val="left"/>
            </w:pPr>
            <w:r>
              <w:rPr>
                <w:rFonts w:ascii="Calibri" w:hAnsi="Calibri" w:eastAsia="Calibri"/>
                <w:b w:val="0"/>
                <w:color w:val="18212B"/>
                <w:sz w:val="17"/>
              </w:rPr>
              <w:t>Не менее трёх пакетов ECO-PPA</w:t>
            </w:r>
          </w:p>
        </w:tc>
        <w:tc>
          <w:tcPr>
            <w:tcW w:type="dxa" w:w="321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7FAFC"/>
          </w:tcPr>
          <w:p>
            <w:pPr>
              <w:spacing w:before="0" w:after="0" w:line="252" w:lineRule="auto"/>
              <w:jc w:val="left"/>
            </w:pPr>
            <w:r>
              <w:rPr>
                <w:rFonts w:ascii="Calibri" w:hAnsi="Calibri" w:eastAsia="Calibri"/>
                <w:b w:val="0"/>
                <w:color w:val="18212B"/>
                <w:sz w:val="17"/>
              </w:rPr>
              <w:t>До/после/контроль</w:t>
            </w:r>
          </w:p>
        </w:tc>
      </w:tr>
      <w:tr>
        <w:tc>
          <w:tcPr>
            <w:tcW w:type="dxa" w:w="19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>
              <w:rPr>
                <w:rFonts w:ascii="Calibri" w:hAnsi="Calibri" w:eastAsia="Calibri"/>
                <w:b/>
                <w:color w:val="18212B"/>
                <w:sz w:val="17"/>
              </w:rPr>
              <w:t>Готовность</w:t>
            </w:r>
          </w:p>
        </w:tc>
        <w:tc>
          <w:tcPr>
            <w:tcW w:type="dxa" w:w="42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>
              <w:rPr>
                <w:rFonts w:ascii="Calibri" w:hAnsi="Calibri" w:eastAsia="Calibri"/>
                <w:b w:val="0"/>
                <w:color w:val="18212B"/>
                <w:sz w:val="17"/>
              </w:rPr>
              <w:t>Не менее двух комплексных учений</w:t>
            </w:r>
          </w:p>
        </w:tc>
        <w:tc>
          <w:tcPr>
            <w:tcW w:type="dxa" w:w="321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>
              <w:rPr>
                <w:rFonts w:ascii="Calibri" w:hAnsi="Calibri" w:eastAsia="Calibri"/>
                <w:b w:val="0"/>
                <w:color w:val="18212B"/>
                <w:sz w:val="17"/>
              </w:rPr>
              <w:t>Независимый аудит</w:t>
            </w:r>
          </w:p>
        </w:tc>
      </w:tr>
    </w:tbl>
    <w:p>
      <w:pPr>
        <w:spacing w:after="40"/>
      </w:pP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c>
          <w:tcPr>
            <w:tcW w:type="dxa" w:w="93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FF6F3"/>
          </w:tcPr>
          <w:p>
            <w:pPr>
              <w:spacing w:before="60" w:after="60" w:line="276" w:lineRule="auto"/>
            </w:pPr>
            <w:r>
              <w:rPr>
                <w:rFonts w:ascii="Calibri" w:hAnsi="Calibri" w:eastAsia="Calibri"/>
                <w:b/>
                <w:color w:val="9B1C1C"/>
                <w:sz w:val="19"/>
              </w:rPr>
              <w:t xml:space="preserve">КОРРЕКТНОСТЬ KPI  </w:t>
            </w:r>
            <w:r>
              <w:rPr>
                <w:rFonts w:ascii="Calibri" w:hAnsi="Calibri" w:eastAsia="Calibri"/>
                <w:color w:val="18212B"/>
                <w:sz w:val="21"/>
              </w:rPr>
              <w:t>Долгосрочное снижение заболеваемости не заявляется как результат годового пилота. Медицинские показатели возможны только как агрегированные исследовательские индикаторы при правовом и этическом основании.</w:t>
            </w:r>
          </w:p>
        </w:tc>
      </w:tr>
    </w:tbl>
    <w:p>
      <w:pPr>
        <w:spacing w:after="20"/>
      </w:pPr>
    </w:p>
    <w:p>
      <w:bookmarkStart w:id="16" w:name="section_16"/>
      <w:pPr>
        <w:pStyle w:val="Heading1"/>
        <w:keepNext/>
        <w:pageBreakBefore w:val="0"/>
      </w:pPr>
      <w:r>
        <w:rPr>
          <w:rFonts w:ascii="Calibri" w:hAnsi="Calibri" w:eastAsia="Calibri"/>
          <w:b/>
          <w:color w:val="2E74B5"/>
          <w:sz w:val="32"/>
        </w:rPr>
        <w:t>16. Риски и ограничения</w:t>
      </w:r>
      <w:bookmarkEnd w:id="16"/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jc w:val="left"/>
        <w:tblInd w:w="120" w:type="dxa"/>
      </w:tblPr>
      <w:tblGrid>
        <w:gridCol w:w="2700"/>
        <w:gridCol w:w="6660"/>
      </w:tblGrid>
      <w:tr>
        <w:trPr>
          <w:tblHeader w:val="true"/>
        </w:trPr>
        <w:tc>
          <w:tcPr>
            <w:tcW w:type="dxa" w:w="27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0B2545"/>
          </w:tcPr>
          <w:p>
            <w:pPr>
              <w:spacing w:after="0" w:line="252" w:lineRule="auto"/>
              <w:jc w:val="center"/>
            </w:pPr>
            <w:r>
              <w:rPr>
                <w:rFonts w:ascii="Calibri" w:hAnsi="Calibri" w:eastAsia="Calibri"/>
                <w:b/>
                <w:color w:val="FFFFFF"/>
                <w:sz w:val="18"/>
              </w:rPr>
              <w:t>Риск</w:t>
            </w:r>
          </w:p>
        </w:tc>
        <w:tc>
          <w:tcPr>
            <w:tcW w:type="dxa" w:w="66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0B2545"/>
          </w:tcPr>
          <w:p>
            <w:pPr>
              <w:spacing w:after="0" w:line="252" w:lineRule="auto"/>
              <w:jc w:val="center"/>
            </w:pPr>
            <w:r>
              <w:rPr>
                <w:rFonts w:ascii="Calibri" w:hAnsi="Calibri" w:eastAsia="Calibri"/>
                <w:b/>
                <w:color w:val="FFFFFF"/>
                <w:sz w:val="18"/>
              </w:rPr>
              <w:t>Мера управления</w:t>
            </w:r>
          </w:p>
        </w:tc>
      </w:tr>
      <w:tr>
        <w:tc>
          <w:tcPr>
            <w:tcW w:type="dxa" w:w="27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>
              <w:rPr>
                <w:rFonts w:ascii="Calibri" w:hAnsi="Calibri" w:eastAsia="Calibri"/>
                <w:b/>
                <w:color w:val="18212B"/>
                <w:sz w:val="17"/>
              </w:rPr>
              <w:t>Спорность термина</w:t>
            </w:r>
          </w:p>
        </w:tc>
        <w:tc>
          <w:tcPr>
            <w:tcW w:type="dxa" w:w="66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>
              <w:rPr>
                <w:rFonts w:ascii="Calibri" w:hAnsi="Calibri" w:eastAsia="Calibri"/>
                <w:b w:val="0"/>
                <w:color w:val="18212B"/>
                <w:sz w:val="17"/>
              </w:rPr>
              <w:t>Публичное название сохраняется; в ТЗ используются аэробиом и биоаэрозоль.</w:t>
            </w:r>
          </w:p>
        </w:tc>
      </w:tr>
      <w:tr>
        <w:tc>
          <w:tcPr>
            <w:tcW w:type="dxa" w:w="27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7FAFC"/>
          </w:tcPr>
          <w:p>
            <w:pPr>
              <w:spacing w:before="0" w:after="0" w:line="252" w:lineRule="auto"/>
              <w:jc w:val="left"/>
            </w:pPr>
            <w:r>
              <w:rPr>
                <w:rFonts w:ascii="Calibri" w:hAnsi="Calibri" w:eastAsia="Calibri"/>
                <w:b/>
                <w:color w:val="18212B"/>
                <w:sz w:val="17"/>
              </w:rPr>
              <w:t>Ошибки датчиков</w:t>
            </w:r>
          </w:p>
        </w:tc>
        <w:tc>
          <w:tcPr>
            <w:tcW w:type="dxa" w:w="66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7FAFC"/>
          </w:tcPr>
          <w:p>
            <w:pPr>
              <w:spacing w:before="0" w:after="0" w:line="252" w:lineRule="auto"/>
              <w:jc w:val="left"/>
            </w:pPr>
            <w:r>
              <w:rPr>
                <w:rFonts w:ascii="Calibri" w:hAnsi="Calibri" w:eastAsia="Calibri"/>
                <w:b w:val="0"/>
                <w:color w:val="18212B"/>
                <w:sz w:val="17"/>
              </w:rPr>
              <w:t>Совместное размещение, калибровка, влажностная коррекция и резервные измерения.</w:t>
            </w:r>
          </w:p>
        </w:tc>
      </w:tr>
      <w:tr>
        <w:tc>
          <w:tcPr>
            <w:tcW w:type="dxa" w:w="27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>
              <w:rPr>
                <w:rFonts w:ascii="Calibri" w:hAnsi="Calibri" w:eastAsia="Calibri"/>
                <w:b/>
                <w:color w:val="18212B"/>
                <w:sz w:val="17"/>
              </w:rPr>
              <w:t>ДНК = опасность</w:t>
            </w:r>
          </w:p>
        </w:tc>
        <w:tc>
          <w:tcPr>
            <w:tcW w:type="dxa" w:w="66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>
              <w:rPr>
                <w:rFonts w:ascii="Calibri" w:hAnsi="Calibri" w:eastAsia="Calibri"/>
                <w:b w:val="0"/>
                <w:color w:val="18212B"/>
                <w:sz w:val="17"/>
              </w:rPr>
              <w:t>Раздельно указываются наличие, жизнеспособность, активность и инфекционность.</w:t>
            </w:r>
          </w:p>
        </w:tc>
      </w:tr>
      <w:tr>
        <w:tc>
          <w:tcPr>
            <w:tcW w:type="dxa" w:w="27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7FAFC"/>
          </w:tcPr>
          <w:p>
            <w:pPr>
              <w:spacing w:before="0" w:after="0" w:line="252" w:lineRule="auto"/>
              <w:jc w:val="left"/>
            </w:pPr>
            <w:r>
              <w:rPr>
                <w:rFonts w:ascii="Calibri" w:hAnsi="Calibri" w:eastAsia="Calibri"/>
                <w:b/>
                <w:color w:val="18212B"/>
                <w:sz w:val="17"/>
              </w:rPr>
              <w:t>Один сезонный цикл</w:t>
            </w:r>
          </w:p>
        </w:tc>
        <w:tc>
          <w:tcPr>
            <w:tcW w:type="dxa" w:w="66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7FAFC"/>
          </w:tcPr>
          <w:p>
            <w:pPr>
              <w:spacing w:before="0" w:after="0" w:line="252" w:lineRule="auto"/>
              <w:jc w:val="left"/>
            </w:pPr>
            <w:r>
              <w:rPr>
                <w:rFonts w:ascii="Calibri" w:hAnsi="Calibri" w:eastAsia="Calibri"/>
                <w:b w:val="0"/>
                <w:color w:val="18212B"/>
                <w:sz w:val="17"/>
              </w:rPr>
              <w:t>Продолжение мониторинга; запрет на выводы о многолетнем тренде.</w:t>
            </w:r>
          </w:p>
        </w:tc>
      </w:tr>
      <w:tr>
        <w:tc>
          <w:tcPr>
            <w:tcW w:type="dxa" w:w="27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>
              <w:rPr>
                <w:rFonts w:ascii="Calibri" w:hAnsi="Calibri" w:eastAsia="Calibri"/>
                <w:b/>
                <w:color w:val="18212B"/>
                <w:sz w:val="17"/>
              </w:rPr>
              <w:t>Ложные тревоги</w:t>
            </w:r>
          </w:p>
        </w:tc>
        <w:tc>
          <w:tcPr>
            <w:tcW w:type="dxa" w:w="66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>
              <w:rPr>
                <w:rFonts w:ascii="Calibri" w:hAnsi="Calibri" w:eastAsia="Calibri"/>
                <w:b w:val="0"/>
                <w:color w:val="18212B"/>
                <w:sz w:val="17"/>
              </w:rPr>
              <w:t>Многоступенчатая валидация и обязательный уровень доверия.</w:t>
            </w:r>
          </w:p>
        </w:tc>
      </w:tr>
      <w:tr>
        <w:tc>
          <w:tcPr>
            <w:tcW w:type="dxa" w:w="27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7FAFC"/>
          </w:tcPr>
          <w:p>
            <w:pPr>
              <w:spacing w:before="0" w:after="0" w:line="252" w:lineRule="auto"/>
              <w:jc w:val="left"/>
            </w:pPr>
            <w:r>
              <w:rPr>
                <w:rFonts w:ascii="Calibri" w:hAnsi="Calibri" w:eastAsia="Calibri"/>
                <w:b/>
                <w:color w:val="18212B"/>
                <w:sz w:val="17"/>
              </w:rPr>
              <w:t>Конфликт полномочий</w:t>
            </w:r>
          </w:p>
        </w:tc>
        <w:tc>
          <w:tcPr>
            <w:tcW w:type="dxa" w:w="66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7FAFC"/>
          </w:tcPr>
          <w:p>
            <w:pPr>
              <w:spacing w:before="0" w:after="0" w:line="252" w:lineRule="auto"/>
              <w:jc w:val="left"/>
            </w:pPr>
            <w:r>
              <w:rPr>
                <w:rFonts w:ascii="Calibri" w:hAnsi="Calibri" w:eastAsia="Calibri"/>
                <w:b w:val="0"/>
                <w:color w:val="18212B"/>
                <w:sz w:val="17"/>
              </w:rPr>
              <w:t>Матрица ответственности и соглашения до запуска.</w:t>
            </w:r>
          </w:p>
        </w:tc>
      </w:tr>
      <w:tr>
        <w:tc>
          <w:tcPr>
            <w:tcW w:type="dxa" w:w="27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>
              <w:rPr>
                <w:rFonts w:ascii="Calibri" w:hAnsi="Calibri" w:eastAsia="Calibri"/>
                <w:b/>
                <w:color w:val="18212B"/>
                <w:sz w:val="17"/>
              </w:rPr>
              <w:t>Паника</w:t>
            </w:r>
          </w:p>
        </w:tc>
        <w:tc>
          <w:tcPr>
            <w:tcW w:type="dxa" w:w="66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>
              <w:rPr>
                <w:rFonts w:ascii="Calibri" w:hAnsi="Calibri" w:eastAsia="Calibri"/>
                <w:b w:val="0"/>
                <w:color w:val="18212B"/>
                <w:sz w:val="17"/>
              </w:rPr>
              <w:t>Единый протокол риск-коммуникации; разделение предварительного и подтверждённого сигнала.</w:t>
            </w:r>
          </w:p>
        </w:tc>
      </w:tr>
      <w:tr>
        <w:tc>
          <w:tcPr>
            <w:tcW w:type="dxa" w:w="27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7FAFC"/>
          </w:tcPr>
          <w:p>
            <w:pPr>
              <w:spacing w:before="0" w:after="0" w:line="252" w:lineRule="auto"/>
              <w:jc w:val="left"/>
            </w:pPr>
            <w:r>
              <w:rPr>
                <w:rFonts w:ascii="Calibri" w:hAnsi="Calibri" w:eastAsia="Calibri"/>
                <w:b/>
                <w:color w:val="18212B"/>
                <w:sz w:val="17"/>
              </w:rPr>
              <w:t>Чувствительные данные</w:t>
            </w:r>
          </w:p>
        </w:tc>
        <w:tc>
          <w:tcPr>
            <w:tcW w:type="dxa" w:w="66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7FAFC"/>
          </w:tcPr>
          <w:p>
            <w:pPr>
              <w:spacing w:before="0" w:after="0" w:line="252" w:lineRule="auto"/>
              <w:jc w:val="left"/>
            </w:pPr>
            <w:r>
              <w:rPr>
                <w:rFonts w:ascii="Calibri" w:hAnsi="Calibri" w:eastAsia="Calibri"/>
                <w:b w:val="0"/>
                <w:color w:val="18212B"/>
                <w:sz w:val="17"/>
              </w:rPr>
              <w:t>Разграничение доступа, журналирование и защищённый контур.</w:t>
            </w:r>
          </w:p>
        </w:tc>
      </w:tr>
      <w:tr>
        <w:tc>
          <w:tcPr>
            <w:tcW w:type="dxa" w:w="27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>
              <w:rPr>
                <w:rFonts w:ascii="Calibri" w:hAnsi="Calibri" w:eastAsia="Calibri"/>
                <w:b/>
                <w:color w:val="18212B"/>
                <w:sz w:val="17"/>
              </w:rPr>
              <w:t>Подмена данных</w:t>
            </w:r>
          </w:p>
        </w:tc>
        <w:tc>
          <w:tcPr>
            <w:tcW w:type="dxa" w:w="66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>
              <w:rPr>
                <w:rFonts w:ascii="Calibri" w:hAnsi="Calibri" w:eastAsia="Calibri"/>
                <w:b w:val="0"/>
                <w:color w:val="18212B"/>
                <w:sz w:val="17"/>
              </w:rPr>
              <w:t>Цифровая подпись, резервирование и контроль аномалий.</w:t>
            </w:r>
          </w:p>
        </w:tc>
      </w:tr>
      <w:tr>
        <w:tc>
          <w:tcPr>
            <w:tcW w:type="dxa" w:w="27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7FAFC"/>
          </w:tcPr>
          <w:p>
            <w:pPr>
              <w:spacing w:before="0" w:after="0" w:line="252" w:lineRule="auto"/>
              <w:jc w:val="left"/>
            </w:pPr>
            <w:r>
              <w:rPr>
                <w:rFonts w:ascii="Calibri" w:hAnsi="Calibri" w:eastAsia="Calibri"/>
                <w:b/>
                <w:color w:val="18212B"/>
                <w:sz w:val="17"/>
              </w:rPr>
              <w:t>Зависимость от поставщика</w:t>
            </w:r>
          </w:p>
        </w:tc>
        <w:tc>
          <w:tcPr>
            <w:tcW w:type="dxa" w:w="66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7FAFC"/>
          </w:tcPr>
          <w:p>
            <w:pPr>
              <w:spacing w:before="0" w:after="0" w:line="252" w:lineRule="auto"/>
              <w:jc w:val="left"/>
            </w:pPr>
            <w:r>
              <w:rPr>
                <w:rFonts w:ascii="Calibri" w:hAnsi="Calibri" w:eastAsia="Calibri"/>
                <w:b w:val="0"/>
                <w:color w:val="18212B"/>
                <w:sz w:val="17"/>
              </w:rPr>
              <w:t>Открытые интерфейсы, экспорт и переносимость данных.</w:t>
            </w:r>
          </w:p>
        </w:tc>
      </w:tr>
      <w:tr>
        <w:tc>
          <w:tcPr>
            <w:tcW w:type="dxa" w:w="27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>
              <w:rPr>
                <w:rFonts w:ascii="Calibri" w:hAnsi="Calibri" w:eastAsia="Calibri"/>
                <w:b/>
                <w:color w:val="18212B"/>
                <w:sz w:val="17"/>
              </w:rPr>
              <w:t>Завышенный эффект</w:t>
            </w:r>
          </w:p>
        </w:tc>
        <w:tc>
          <w:tcPr>
            <w:tcW w:type="dxa" w:w="66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>
              <w:rPr>
                <w:rFonts w:ascii="Calibri" w:hAnsi="Calibri" w:eastAsia="Calibri"/>
                <w:b w:val="0"/>
                <w:color w:val="18212B"/>
                <w:sz w:val="17"/>
              </w:rPr>
              <w:t>Сценарные оценки и независимая верификация.</w:t>
            </w:r>
          </w:p>
        </w:tc>
      </w:tr>
    </w:tbl>
    <w:p>
      <w:pPr>
        <w:spacing w:after="40"/>
      </w:pPr>
    </w:p>
    <w:p>
      <w:bookmarkStart w:id="17" w:name="section_17"/>
      <w:pPr>
        <w:pStyle w:val="Heading1"/>
        <w:keepNext/>
        <w:pageBreakBefore w:val="0"/>
      </w:pPr>
      <w:r>
        <w:rPr>
          <w:rFonts w:ascii="Calibri" w:hAnsi="Calibri" w:eastAsia="Calibri"/>
          <w:b/>
          <w:color w:val="2E74B5"/>
          <w:sz w:val="32"/>
        </w:rPr>
        <w:t>17. Дорожная карта масштабирования</w:t>
      </w:r>
      <w:bookmarkEnd w:id="17"/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jc w:val="left"/>
        <w:tblInd w:w="120" w:type="dxa"/>
      </w:tblPr>
      <w:tblGrid>
        <w:gridCol w:w="2300"/>
        <w:gridCol w:w="1600"/>
        <w:gridCol w:w="5460"/>
      </w:tblGrid>
      <w:tr>
        <w:trPr>
          <w:tblHeader w:val="true"/>
        </w:trPr>
        <w:tc>
          <w:tcPr>
            <w:tcW w:type="dxa" w:w="23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0B2545"/>
          </w:tcPr>
          <w:p>
            <w:pPr>
              <w:spacing w:after="0" w:line="252" w:lineRule="auto"/>
              <w:jc w:val="center"/>
            </w:pPr>
            <w:r>
              <w:rPr>
                <w:rFonts w:ascii="Calibri" w:hAnsi="Calibri" w:eastAsia="Calibri"/>
                <w:b/>
                <w:color w:val="FFFFFF"/>
                <w:sz w:val="18"/>
              </w:rPr>
              <w:t>Этап</w:t>
            </w:r>
          </w:p>
        </w:tc>
        <w:tc>
          <w:tcPr>
            <w:tcW w:type="dxa" w:w="16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0B2545"/>
          </w:tcPr>
          <w:p>
            <w:pPr>
              <w:spacing w:after="0" w:line="252" w:lineRule="auto"/>
              <w:jc w:val="center"/>
            </w:pPr>
            <w:r>
              <w:rPr>
                <w:rFonts w:ascii="Calibri" w:hAnsi="Calibri" w:eastAsia="Calibri"/>
                <w:b/>
                <w:color w:val="FFFFFF"/>
                <w:sz w:val="18"/>
              </w:rPr>
              <w:t>Срок</w:t>
            </w:r>
          </w:p>
        </w:tc>
        <w:tc>
          <w:tcPr>
            <w:tcW w:type="dxa" w:w="54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0B2545"/>
          </w:tcPr>
          <w:p>
            <w:pPr>
              <w:spacing w:after="0" w:line="252" w:lineRule="auto"/>
              <w:jc w:val="center"/>
            </w:pPr>
            <w:r>
              <w:rPr>
                <w:rFonts w:ascii="Calibri" w:hAnsi="Calibri" w:eastAsia="Calibri"/>
                <w:b/>
                <w:color w:val="FFFFFF"/>
                <w:sz w:val="18"/>
              </w:rPr>
              <w:t>Результат</w:t>
            </w:r>
          </w:p>
        </w:tc>
      </w:tr>
      <w:tr>
        <w:tc>
          <w:tcPr>
            <w:tcW w:type="dxa" w:w="23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>
              <w:rPr>
                <w:rFonts w:ascii="Calibri" w:hAnsi="Calibri" w:eastAsia="Calibri"/>
                <w:b/>
                <w:color w:val="18212B"/>
                <w:sz w:val="17"/>
              </w:rPr>
              <w:t>1. Методология</w:t>
            </w:r>
          </w:p>
        </w:tc>
        <w:tc>
          <w:tcPr>
            <w:tcW w:type="dxa" w:w="16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>
              <w:rPr>
                <w:rFonts w:ascii="Calibri" w:hAnsi="Calibri" w:eastAsia="Calibri"/>
                <w:b w:val="0"/>
                <w:color w:val="18212B"/>
                <w:sz w:val="17"/>
              </w:rPr>
              <w:t>0–3 месяца</w:t>
            </w:r>
          </w:p>
        </w:tc>
        <w:tc>
          <w:tcPr>
            <w:tcW w:type="dxa" w:w="54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>
              <w:rPr>
                <w:rFonts w:ascii="Calibri" w:hAnsi="Calibri" w:eastAsia="Calibri"/>
                <w:b w:val="0"/>
                <w:color w:val="18212B"/>
                <w:sz w:val="17"/>
              </w:rPr>
              <w:t>Глоссарий, показатели, модель данных, приборы, лаборатории, регламенты и шаблон ECO-PPA.</w:t>
            </w:r>
          </w:p>
        </w:tc>
      </w:tr>
      <w:tr>
        <w:tc>
          <w:tcPr>
            <w:tcW w:type="dxa" w:w="23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7FAFC"/>
          </w:tcPr>
          <w:p>
            <w:pPr>
              <w:spacing w:before="0" w:after="0" w:line="252" w:lineRule="auto"/>
              <w:jc w:val="left"/>
            </w:pPr>
            <w:r>
              <w:rPr>
                <w:rFonts w:ascii="Calibri" w:hAnsi="Calibri" w:eastAsia="Calibri"/>
                <w:b/>
                <w:color w:val="18212B"/>
                <w:sz w:val="17"/>
              </w:rPr>
              <w:t>2. Пилот</w:t>
            </w:r>
          </w:p>
        </w:tc>
        <w:tc>
          <w:tcPr>
            <w:tcW w:type="dxa" w:w="16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7FAFC"/>
          </w:tcPr>
          <w:p>
            <w:pPr>
              <w:spacing w:before="0" w:after="0" w:line="252" w:lineRule="auto"/>
              <w:jc w:val="left"/>
            </w:pPr>
            <w:r>
              <w:rPr>
                <w:rFonts w:ascii="Calibri" w:hAnsi="Calibri" w:eastAsia="Calibri"/>
                <w:b w:val="0"/>
                <w:color w:val="18212B"/>
                <w:sz w:val="17"/>
              </w:rPr>
              <w:t>4–15 месяцев</w:t>
            </w:r>
          </w:p>
        </w:tc>
        <w:tc>
          <w:tcPr>
            <w:tcW w:type="dxa" w:w="54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7FAFC"/>
          </w:tcPr>
          <w:p>
            <w:pPr>
              <w:spacing w:before="0" w:after="0" w:line="252" w:lineRule="auto"/>
              <w:jc w:val="left"/>
            </w:pPr>
            <w:r>
              <w:rPr>
                <w:rFonts w:ascii="Calibri" w:hAnsi="Calibri" w:eastAsia="Calibri"/>
                <w:b w:val="0"/>
                <w:color w:val="18212B"/>
                <w:sz w:val="17"/>
              </w:rPr>
              <w:t>Полный сезонный цикл, цифровой двойник, вмешательства, аудит и пакет тиражирования.</w:t>
            </w:r>
          </w:p>
        </w:tc>
      </w:tr>
      <w:tr>
        <w:tc>
          <w:tcPr>
            <w:tcW w:type="dxa" w:w="23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>
              <w:rPr>
                <w:rFonts w:ascii="Calibri" w:hAnsi="Calibri" w:eastAsia="Calibri"/>
                <w:b/>
                <w:color w:val="18212B"/>
                <w:sz w:val="17"/>
              </w:rPr>
              <w:t>3. Сеть пилотов</w:t>
            </w:r>
          </w:p>
        </w:tc>
        <w:tc>
          <w:tcPr>
            <w:tcW w:type="dxa" w:w="16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>
              <w:rPr>
                <w:rFonts w:ascii="Calibri" w:hAnsi="Calibri" w:eastAsia="Calibri"/>
                <w:b w:val="0"/>
                <w:color w:val="18212B"/>
                <w:sz w:val="17"/>
              </w:rPr>
              <w:t>16–30 месяцев</w:t>
            </w:r>
          </w:p>
        </w:tc>
        <w:tc>
          <w:tcPr>
            <w:tcW w:type="dxa" w:w="54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>
              <w:rPr>
                <w:rFonts w:ascii="Calibri" w:hAnsi="Calibri" w:eastAsia="Calibri"/>
                <w:b w:val="0"/>
                <w:color w:val="18212B"/>
                <w:sz w:val="17"/>
              </w:rPr>
              <w:t>Город, промышленность, сельское хозяйство, природная и северная территории.</w:t>
            </w:r>
          </w:p>
        </w:tc>
      </w:tr>
      <w:tr>
        <w:tc>
          <w:tcPr>
            <w:tcW w:type="dxa" w:w="23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7FAFC"/>
          </w:tcPr>
          <w:p>
            <w:pPr>
              <w:spacing w:before="0" w:after="0" w:line="252" w:lineRule="auto"/>
              <w:jc w:val="left"/>
            </w:pPr>
            <w:r>
              <w:rPr>
                <w:rFonts w:ascii="Calibri" w:hAnsi="Calibri" w:eastAsia="Calibri"/>
                <w:b/>
                <w:color w:val="18212B"/>
                <w:sz w:val="17"/>
              </w:rPr>
              <w:t>4. Региональный стандарт</w:t>
            </w:r>
          </w:p>
        </w:tc>
        <w:tc>
          <w:tcPr>
            <w:tcW w:type="dxa" w:w="16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7FAFC"/>
          </w:tcPr>
          <w:p>
            <w:pPr>
              <w:spacing w:before="0" w:after="0" w:line="252" w:lineRule="auto"/>
              <w:jc w:val="left"/>
            </w:pPr>
            <w:r>
              <w:rPr>
                <w:rFonts w:ascii="Calibri" w:hAnsi="Calibri" w:eastAsia="Calibri"/>
                <w:b w:val="0"/>
                <w:color w:val="18212B"/>
                <w:sz w:val="17"/>
              </w:rPr>
              <w:t>31–48 месяцев</w:t>
            </w:r>
          </w:p>
        </w:tc>
        <w:tc>
          <w:tcPr>
            <w:tcW w:type="dxa" w:w="54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7FAFC"/>
          </w:tcPr>
          <w:p>
            <w:pPr>
              <w:spacing w:before="0" w:after="0" w:line="252" w:lineRule="auto"/>
              <w:jc w:val="left"/>
            </w:pPr>
            <w:r>
              <w:rPr>
                <w:rFonts w:ascii="Calibri" w:hAnsi="Calibri" w:eastAsia="Calibri"/>
                <w:b w:val="0"/>
                <w:color w:val="18212B"/>
                <w:sz w:val="17"/>
              </w:rPr>
              <w:t>Единый центр, интеграция ведомств, стандарт обмена и межмуниципальные сценарии.</w:t>
            </w:r>
          </w:p>
        </w:tc>
      </w:tr>
      <w:tr>
        <w:tc>
          <w:tcPr>
            <w:tcW w:type="dxa" w:w="23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>
              <w:rPr>
                <w:rFonts w:ascii="Calibri" w:hAnsi="Calibri" w:eastAsia="Calibri"/>
                <w:b/>
                <w:color w:val="18212B"/>
                <w:sz w:val="17"/>
              </w:rPr>
              <w:t>5. Национальный контур</w:t>
            </w:r>
          </w:p>
        </w:tc>
        <w:tc>
          <w:tcPr>
            <w:tcW w:type="dxa" w:w="16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>
              <w:rPr>
                <w:rFonts w:ascii="Calibri" w:hAnsi="Calibri" w:eastAsia="Calibri"/>
                <w:b w:val="0"/>
                <w:color w:val="18212B"/>
                <w:sz w:val="17"/>
              </w:rPr>
              <w:t>49–60 месяцев</w:t>
            </w:r>
          </w:p>
        </w:tc>
        <w:tc>
          <w:tcPr>
            <w:tcW w:type="dxa" w:w="54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>
              <w:rPr>
                <w:rFonts w:ascii="Calibri" w:hAnsi="Calibri" w:eastAsia="Calibri"/>
                <w:b w:val="0"/>
                <w:color w:val="18212B"/>
                <w:sz w:val="17"/>
              </w:rPr>
              <w:t>Сеть воздушных бассейнов, ГАСМП «ЭКВИЛИБРИУМ» и международная кооперация.</w:t>
            </w:r>
          </w:p>
        </w:tc>
      </w:tr>
    </w:tbl>
    <w:p>
      <w:pPr>
        <w:spacing w:after="40"/>
      </w:pPr>
    </w:p>
    <w:p>
      <w:bookmarkStart w:id="18" w:name="section_18"/>
      <w:pPr>
        <w:pStyle w:val="Heading1"/>
        <w:keepNext/>
        <w:pageBreakBefore/>
      </w:pPr>
      <w:r>
        <w:rPr>
          <w:rFonts w:ascii="Calibri" w:hAnsi="Calibri" w:eastAsia="Calibri"/>
          <w:b/>
          <w:color w:val="2E74B5"/>
          <w:sz w:val="32"/>
        </w:rPr>
        <w:t>18. Итоговое решение и источники</w:t>
      </w:r>
      <w:bookmarkEnd w:id="18"/>
    </w:p>
    <w:p>
      <w:pPr>
        <w:pStyle w:val="Heading2"/>
        <w:keepNext/>
      </w:pPr>
      <w:r>
        <w:rPr>
          <w:rFonts w:ascii="Calibri" w:hAnsi="Calibri" w:eastAsia="Calibri"/>
          <w:b/>
          <w:color w:val="2E74B5"/>
          <w:sz w:val="26"/>
        </w:rPr>
        <w:t>18.1. Решение для запуска</w:t>
      </w:r>
    </w:p>
    <w:p>
      <w:pPr>
        <w:numPr>
          <w:ilvl w:val="0"/>
          <w:numId w:val="21"/>
        </w:numPr>
        <w:spacing w:after="80" w:line="290" w:lineRule="auto"/>
      </w:pPr>
      <w:r>
        <w:rPr>
          <w:rFonts w:ascii="Calibri" w:hAnsi="Calibri" w:eastAsia="Calibri"/>
          <w:color w:val="18212B"/>
          <w:sz w:val="22"/>
        </w:rPr>
        <w:t>утвердить двухуровневое название: «Биоценоз: Воздух» / «Мониторинг аэробиома и биологических факторов качества воздушной среды»;</w:t>
      </w:r>
    </w:p>
    <w:p>
      <w:pPr>
        <w:numPr>
          <w:ilvl w:val="0"/>
          <w:numId w:val="21"/>
        </w:numPr>
        <w:spacing w:after="80" w:line="290" w:lineRule="auto"/>
      </w:pPr>
      <w:r>
        <w:rPr>
          <w:rFonts w:ascii="Calibri" w:hAnsi="Calibri" w:eastAsia="Calibri"/>
          <w:color w:val="18212B"/>
          <w:sz w:val="22"/>
        </w:rPr>
        <w:t>определить заказчика предпроектного этапа и владельца результата;</w:t>
      </w:r>
    </w:p>
    <w:p>
      <w:pPr>
        <w:numPr>
          <w:ilvl w:val="0"/>
          <w:numId w:val="21"/>
        </w:numPr>
        <w:spacing w:after="80" w:line="290" w:lineRule="auto"/>
      </w:pPr>
      <w:r>
        <w:rPr>
          <w:rFonts w:ascii="Calibri" w:hAnsi="Calibri" w:eastAsia="Calibri"/>
          <w:color w:val="18212B"/>
          <w:sz w:val="22"/>
        </w:rPr>
        <w:t>выбрать пилотную территорию и референс-лабораторию;</w:t>
      </w:r>
    </w:p>
    <w:p>
      <w:pPr>
        <w:numPr>
          <w:ilvl w:val="0"/>
          <w:numId w:val="21"/>
        </w:numPr>
        <w:spacing w:after="80" w:line="290" w:lineRule="auto"/>
      </w:pPr>
      <w:r>
        <w:rPr>
          <w:rFonts w:ascii="Calibri" w:hAnsi="Calibri" w:eastAsia="Calibri"/>
          <w:color w:val="18212B"/>
          <w:sz w:val="22"/>
        </w:rPr>
        <w:t>за 60 дней подготовить научный протокол, карту источников и рецепторов, архитектуру сети и план качества данных;</w:t>
      </w:r>
    </w:p>
    <w:p>
      <w:pPr>
        <w:numPr>
          <w:ilvl w:val="0"/>
          <w:numId w:val="21"/>
        </w:numPr>
        <w:spacing w:after="80" w:line="290" w:lineRule="auto"/>
      </w:pPr>
      <w:r>
        <w:rPr>
          <w:rFonts w:ascii="Calibri" w:hAnsi="Calibri" w:eastAsia="Calibri"/>
          <w:color w:val="18212B"/>
          <w:sz w:val="22"/>
        </w:rPr>
        <w:t>согласовать матрицу полномочий и регламент реагирования;</w:t>
      </w:r>
    </w:p>
    <w:p>
      <w:pPr>
        <w:numPr>
          <w:ilvl w:val="0"/>
          <w:numId w:val="21"/>
        </w:numPr>
        <w:spacing w:after="80" w:line="290" w:lineRule="auto"/>
      </w:pPr>
      <w:r>
        <w:rPr>
          <w:rFonts w:ascii="Calibri" w:hAnsi="Calibri" w:eastAsia="Calibri"/>
          <w:color w:val="18212B"/>
          <w:sz w:val="22"/>
        </w:rPr>
        <w:t>запустить 12-месячный пилот с независимой верификацией и пакетами ECO-PPA.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c>
          <w:tcPr>
            <w:tcW w:type="dxa" w:w="93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DDEFF8"/>
          </w:tcPr>
          <w:p>
            <w:pPr>
              <w:spacing w:before="60" w:after="60" w:line="276" w:lineRule="auto"/>
            </w:pPr>
            <w:r>
              <w:rPr>
                <w:rFonts w:ascii="Calibri" w:hAnsi="Calibri" w:eastAsia="Calibri"/>
                <w:b/>
                <w:color w:val="0B2545"/>
                <w:sz w:val="19"/>
              </w:rPr>
              <w:t xml:space="preserve">ИТОГОВАЯ ФОРМУЛА  </w:t>
            </w:r>
            <w:r>
              <w:rPr>
                <w:rFonts w:ascii="Calibri" w:hAnsi="Calibri" w:eastAsia="Calibri"/>
                <w:color w:val="18212B"/>
                <w:sz w:val="21"/>
              </w:rPr>
              <w:t>«Биоценоз: Воздух» — переход от измерения загрязнения к управлению жизнеспособностью территории.</w:t>
            </w:r>
          </w:p>
        </w:tc>
      </w:tr>
    </w:tbl>
    <w:p>
      <w:pPr>
        <w:spacing w:after="20"/>
      </w:pPr>
    </w:p>
    <w:p>
      <w:pPr>
        <w:pStyle w:val="Heading2"/>
        <w:keepNext/>
      </w:pPr>
      <w:r>
        <w:rPr>
          <w:rFonts w:ascii="Calibri" w:hAnsi="Calibri" w:eastAsia="Calibri"/>
          <w:b/>
          <w:color w:val="2E74B5"/>
          <w:sz w:val="26"/>
        </w:rPr>
        <w:t>18.2. Статус документа</w:t>
      </w:r>
    </w:p>
    <w:p>
      <w:pPr>
        <w:spacing w:after="160" w:line="320" w:lineRule="auto"/>
        <w:jc w:val="both"/>
      </w:pPr>
      <w:r>
        <w:rPr>
          <w:rFonts w:ascii="Calibri" w:hAnsi="Calibri" w:eastAsia="Calibri"/>
          <w:color w:val="18212B"/>
          <w:sz w:val="22"/>
        </w:rPr>
        <w:t>Документ является концептуальным и предназначен для предпроектного обсуждения. Пороговые значения, состав оборудования, юридическая модель, бюджет и официальные регламенты утверждаются после обследования территории, консультаций с уполномоченными органами и проверки действующих нормативных требований.</w:t>
      </w:r>
    </w:p>
    <w:p>
      <w:pPr>
        <w:pStyle w:val="Heading2"/>
        <w:keepNext/>
      </w:pPr>
      <w:r>
        <w:rPr>
          <w:rFonts w:ascii="Calibri" w:hAnsi="Calibri" w:eastAsia="Calibri"/>
          <w:b/>
          <w:color w:val="2E74B5"/>
          <w:sz w:val="26"/>
        </w:rPr>
        <w:t>18.3. Основные источники</w:t>
      </w:r>
    </w:p>
    <w:p>
      <w:pPr>
        <w:spacing w:after="20" w:line="240" w:lineRule="auto"/>
      </w:pPr>
      <w:r>
        <w:rPr>
          <w:rFonts w:ascii="Calibri" w:hAnsi="Calibri" w:eastAsia="Calibri"/>
          <w:color w:val="5D6B78"/>
          <w:sz w:val="15"/>
        </w:rPr>
        <w:t>[1] WHO. Global Air Quality Guidelines (2021). https://www.who.int/publications/i/item/9789240034228</w:t>
      </w:r>
    </w:p>
    <w:p>
      <w:pPr>
        <w:spacing w:after="20" w:line="240" w:lineRule="auto"/>
      </w:pPr>
      <w:r>
        <w:rPr>
          <w:rFonts w:ascii="Calibri" w:hAnsi="Calibri" w:eastAsia="Calibri"/>
          <w:color w:val="5D6B78"/>
          <w:sz w:val="15"/>
        </w:rPr>
        <w:t>[2] WMO. Global Atmosphere Watch Programme. https://community.wmo.int/site/knowledge-hub/programmes-and-initiatives/global-atmosphere-watch-gaw-programme</w:t>
      </w:r>
    </w:p>
    <w:p>
      <w:pPr>
        <w:spacing w:after="20" w:line="240" w:lineRule="auto"/>
      </w:pPr>
      <w:r>
        <w:rPr>
          <w:rFonts w:ascii="Calibri" w:hAnsi="Calibri" w:eastAsia="Calibri"/>
          <w:color w:val="5D6B78"/>
          <w:sz w:val="15"/>
        </w:rPr>
        <w:t>[3] UNEP. GEMS/Air. https://www.unep.org/topics/environment-under-review/gems-air</w:t>
      </w:r>
    </w:p>
    <w:p>
      <w:pPr>
        <w:spacing w:after="20" w:line="240" w:lineRule="auto"/>
      </w:pPr>
      <w:r>
        <w:rPr>
          <w:rFonts w:ascii="Calibri" w:hAnsi="Calibri" w:eastAsia="Calibri"/>
          <w:color w:val="5D6B78"/>
          <w:sz w:val="15"/>
        </w:rPr>
        <w:t>[4] Copernicus Atmosphere Monitoring Service. Global atmospheric composition forecasts. https://ads.atmosphere.copernicus.eu/datasets/cams-global-atmospheric-composition-forecasts</w:t>
      </w:r>
    </w:p>
    <w:p>
      <w:pPr>
        <w:spacing w:after="20" w:line="240" w:lineRule="auto"/>
      </w:pPr>
      <w:r>
        <w:rPr>
          <w:rFonts w:ascii="Calibri" w:hAnsi="Calibri" w:eastAsia="Calibri"/>
          <w:color w:val="5D6B78"/>
          <w:sz w:val="15"/>
        </w:rPr>
        <w:t>[5] European Environment Agency. European Air Quality Index. https://airindex.eea.europa.eu/AQI/index.html</w:t>
      </w:r>
    </w:p>
    <w:p>
      <w:pPr>
        <w:spacing w:after="20" w:line="240" w:lineRule="auto"/>
      </w:pPr>
      <w:r>
        <w:rPr>
          <w:rFonts w:ascii="Calibri" w:hAnsi="Calibri" w:eastAsia="Calibri"/>
          <w:color w:val="5D6B78"/>
          <w:sz w:val="15"/>
        </w:rPr>
        <w:t>[6] СанПиН 1.2.3685-21. Официальное опубликование. https://publication.pravo.gov.ru/Document/View/0001202102030022</w:t>
      </w:r>
    </w:p>
    <w:p>
      <w:pPr>
        <w:spacing w:after="20" w:line="240" w:lineRule="auto"/>
      </w:pPr>
      <w:r>
        <w:rPr>
          <w:rFonts w:ascii="Calibri" w:hAnsi="Calibri" w:eastAsia="Calibri"/>
          <w:color w:val="5D6B78"/>
          <w:sz w:val="15"/>
        </w:rPr>
        <w:t>[7] Росгидромет. Ежегодники состояния загрязнения атмосферы. https://www.meteorf.gov.ru/product/infomaterials/ezhegodniki/</w:t>
      </w:r>
    </w:p>
    <w:p>
      <w:pPr>
        <w:spacing w:after="20" w:line="240" w:lineRule="auto"/>
      </w:pPr>
      <w:r>
        <w:rPr>
          <w:rFonts w:ascii="Calibri" w:hAnsi="Calibri" w:eastAsia="Calibri"/>
          <w:color w:val="5D6B78"/>
          <w:sz w:val="15"/>
        </w:rPr>
        <w:t>[8] Gusareva et al. Short-timescale dynamics of the airborne microbiome. PNAS, 2019. https://doi.org/10.1073/pnas.1908493116</w:t>
      </w:r>
    </w:p>
    <w:p>
      <w:pPr>
        <w:spacing w:after="20" w:line="240" w:lineRule="auto"/>
      </w:pPr>
      <w:r>
        <w:rPr>
          <w:rFonts w:ascii="Calibri" w:hAnsi="Calibri" w:eastAsia="Calibri"/>
          <w:color w:val="5D6B78"/>
          <w:sz w:val="15"/>
        </w:rPr>
        <w:t>[9] Gusareva et al. Seasonal and diurnal variations of airborne microbiomes in Western Siberia. Scientific Reports, 2020. https://doi.org/10.1038/s41598-020-78604-8</w:t>
      </w:r>
    </w:p>
    <w:p>
      <w:pPr>
        <w:spacing w:after="20" w:line="240" w:lineRule="auto"/>
      </w:pPr>
      <w:r>
        <w:rPr>
          <w:rFonts w:ascii="Calibri" w:hAnsi="Calibri" w:eastAsia="Calibri"/>
          <w:color w:val="5D6B78"/>
          <w:sz w:val="15"/>
        </w:rPr>
        <w:t>[10] Mayol et al. Long-range transport of airborne microbes over the global tropical and subtropical ocean. Nature Communications, 2017. https://doi.org/10.1038/s41467-017-00110-9</w:t>
      </w:r>
    </w:p>
    <w:p>
      <w:pPr>
        <w:spacing w:after="20" w:line="240" w:lineRule="auto"/>
      </w:pPr>
      <w:r>
        <w:rPr>
          <w:rFonts w:ascii="Calibri" w:hAnsi="Calibri" w:eastAsia="Calibri"/>
          <w:color w:val="5D6B78"/>
          <w:sz w:val="15"/>
        </w:rPr>
        <w:t>[11] Vaïtilingom et al. Potential impact of microbial activity on the oxidant capacity and organic carbon budget in clouds. PNAS, 2013. https://doi.org/10.1073/pnas.1205743110</w:t>
      </w:r>
    </w:p>
    <w:p>
      <w:pPr>
        <w:spacing w:after="20" w:line="240" w:lineRule="auto"/>
      </w:pPr>
      <w:r>
        <w:rPr>
          <w:rFonts w:ascii="Calibri" w:hAnsi="Calibri" w:eastAsia="Calibri"/>
          <w:color w:val="5D6B78"/>
          <w:sz w:val="15"/>
        </w:rPr>
        <w:t>[12] Archer et al. Air mass source drives bacterial and fungal community composition above the Great Barrier Reef. ISME Journal, 2020. https://doi.org/10.1038/s41396-019-0555-0</w:t>
      </w:r>
    </w:p>
    <w:p>
      <w:pPr>
        <w:spacing w:after="20" w:line="240" w:lineRule="auto"/>
      </w:pPr>
      <w:r>
        <w:rPr>
          <w:rFonts w:ascii="Calibri" w:hAnsi="Calibri" w:eastAsia="Calibri"/>
          <w:color w:val="5D6B78"/>
          <w:sz w:val="15"/>
        </w:rPr>
        <w:t>[13] WHO, FAO, UNEP, WOAH. One Health Joint Plan of Action. https://www.who.int/publications/i/item/9789240059139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440" w:right="1440" w:bottom="1440" w:left="1440" w:header="708" w:footer="708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/>
      <w:jc w:val="center"/>
    </w:pPr>
    <w:r>
      <w:rPr>
        <w:rFonts w:ascii="Calibri" w:hAnsi="Calibri" w:eastAsia="Calibri"/>
        <w:color w:val="5D6B78"/>
        <w:sz w:val="17"/>
      </w:rPr>
      <w:t xml:space="preserve">Страница </w:t>
    </w:r>
    <w:r>
      <w:rPr>
        <w:rFonts w:ascii="Calibri" w:hAnsi="Calibri" w:eastAsia="Calibri"/>
        <w:color w:val="5D6B78"/>
        <w:sz w:val="18"/>
      </w:rPr>
      <w:fldChar w:fldCharType="begin"/>
      <w:instrText xml:space="preserve">PAGE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tabs>
        <w:tab w:pos="9360" w:val="left"/>
      </w:tabs>
      <w:spacing w:after="0"/>
      <w:jc w:val="left"/>
    </w:pPr>
    <w:r>
      <w:rPr>
        <w:rFonts w:ascii="Calibri" w:hAnsi="Calibri" w:eastAsia="Calibri"/>
        <w:b/>
        <w:color w:val="5D6B78"/>
        <w:sz w:val="17"/>
      </w:rPr>
      <w:t>ОРИОН 22:22  |  БИОЦЕНОЗ: ВОЗДУХ</w:t>
    </w:r>
    <w:r>
      <w:rPr>
        <w:rFonts w:ascii="Calibri" w:hAnsi="Calibri" w:eastAsia="Calibri"/>
        <w:b/>
        <w:color w:val="2E74B5"/>
        <w:sz w:val="17"/>
      </w:rPr>
      <w:tab/>
      <w:t>ЭКВИЛИБРИУМ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abstractNum w:abstractNumId="9">
    <w:multiLevelType w:val="singleLevel"/>
    <w:lvl w:ilvl="0">
      <w:start w:val="1"/>
      <w:numFmt w:val="bullet"/>
      <w:lvlText w:val="•"/>
      <w:suff w:val="tab"/>
      <w:lvlJc w:val="left"/>
      <w:pPr>
        <w:tabs>
          <w:tab w:val="num" w:pos="540"/>
        </w:tabs>
        <w:ind w:left="540" w:hanging="280"/>
      </w:pPr>
      <w:rPr>
        <w:rFonts w:ascii="Symbol" w:hAnsi="Symbol"/>
      </w:rPr>
    </w:lvl>
  </w:abstractNum>
  <w:num w:numId="10">
    <w:abstractNumId w:val="9"/>
  </w:num>
  <w:abstractNum w:abstractNumId="10">
    <w:multiLevelType w:val="singleLevel"/>
    <w:lvl w:ilvl="0">
      <w:start w:val="1"/>
      <w:numFmt w:val="decimal"/>
      <w:lvlText w:val="%1. "/>
      <w:suff w:val="tab"/>
      <w:lvlJc w:val="left"/>
      <w:pPr>
        <w:tabs>
          <w:tab w:val="num" w:pos="540"/>
        </w:tabs>
        <w:ind w:left="540" w:hanging="280"/>
      </w:pPr>
    </w:lvl>
  </w:abstractNum>
  <w:num w:numId="11">
    <w:abstractNumId w:val="10"/>
  </w:num>
  <w:abstractNum w:abstractNumId="11">
    <w:multiLevelType w:val="singleLevel"/>
    <w:lvl w:ilvl="0">
      <w:start w:val="1"/>
      <w:numFmt w:val="bullet"/>
      <w:lvlText w:val="•"/>
      <w:suff w:val="tab"/>
      <w:lvlJc w:val="left"/>
      <w:pPr>
        <w:tabs>
          <w:tab w:val="num" w:pos="540"/>
        </w:tabs>
        <w:ind w:left="540" w:hanging="280"/>
      </w:pPr>
      <w:rPr>
        <w:rFonts w:ascii="Symbol" w:hAnsi="Symbol"/>
      </w:rPr>
    </w:lvl>
  </w:abstractNum>
  <w:num w:numId="12">
    <w:abstractNumId w:val="11"/>
  </w:num>
  <w:abstractNum w:abstractNumId="12">
    <w:multiLevelType w:val="singleLevel"/>
    <w:lvl w:ilvl="0">
      <w:start w:val="1"/>
      <w:numFmt w:val="decimal"/>
      <w:lvlText w:val="%1. "/>
      <w:suff w:val="tab"/>
      <w:lvlJc w:val="left"/>
      <w:pPr>
        <w:tabs>
          <w:tab w:val="num" w:pos="540"/>
        </w:tabs>
        <w:ind w:left="540" w:hanging="280"/>
      </w:pPr>
    </w:lvl>
  </w:abstractNum>
  <w:num w:numId="13">
    <w:abstractNumId w:val="12"/>
  </w:num>
  <w:abstractNum w:abstractNumId="13">
    <w:multiLevelType w:val="singleLevel"/>
    <w:lvl w:ilvl="0">
      <w:start w:val="1"/>
      <w:numFmt w:val="bullet"/>
      <w:lvlText w:val="•"/>
      <w:suff w:val="tab"/>
      <w:lvlJc w:val="left"/>
      <w:pPr>
        <w:tabs>
          <w:tab w:val="num" w:pos="540"/>
        </w:tabs>
        <w:ind w:left="540" w:hanging="280"/>
      </w:pPr>
      <w:rPr>
        <w:rFonts w:ascii="Symbol" w:hAnsi="Symbol"/>
      </w:rPr>
    </w:lvl>
  </w:abstractNum>
  <w:num w:numId="14">
    <w:abstractNumId w:val="13"/>
  </w:num>
  <w:abstractNum w:abstractNumId="14">
    <w:multiLevelType w:val="singleLevel"/>
    <w:lvl w:ilvl="0">
      <w:start w:val="1"/>
      <w:numFmt w:val="decimal"/>
      <w:lvlText w:val="%1. "/>
      <w:suff w:val="tab"/>
      <w:lvlJc w:val="left"/>
      <w:pPr>
        <w:tabs>
          <w:tab w:val="num" w:pos="540"/>
        </w:tabs>
        <w:ind w:left="540" w:hanging="280"/>
      </w:pPr>
    </w:lvl>
  </w:abstractNum>
  <w:num w:numId="15">
    <w:abstractNumId w:val="14"/>
  </w:num>
  <w:abstractNum w:abstractNumId="15">
    <w:multiLevelType w:val="singleLevel"/>
    <w:lvl w:ilvl="0">
      <w:start w:val="1"/>
      <w:numFmt w:val="bullet"/>
      <w:lvlText w:val="•"/>
      <w:suff w:val="tab"/>
      <w:lvlJc w:val="left"/>
      <w:pPr>
        <w:tabs>
          <w:tab w:val="num" w:pos="540"/>
        </w:tabs>
        <w:ind w:left="540" w:hanging="280"/>
      </w:pPr>
      <w:rPr>
        <w:rFonts w:ascii="Symbol" w:hAnsi="Symbol"/>
      </w:rPr>
    </w:lvl>
  </w:abstractNum>
  <w:num w:numId="16">
    <w:abstractNumId w:val="15"/>
  </w:num>
  <w:abstractNum w:abstractNumId="16">
    <w:multiLevelType w:val="singleLevel"/>
    <w:lvl w:ilvl="0">
      <w:start w:val="1"/>
      <w:numFmt w:val="decimal"/>
      <w:lvlText w:val="%1. "/>
      <w:suff w:val="tab"/>
      <w:lvlJc w:val="left"/>
      <w:pPr>
        <w:tabs>
          <w:tab w:val="num" w:pos="540"/>
        </w:tabs>
        <w:ind w:left="540" w:hanging="280"/>
      </w:pPr>
    </w:lvl>
  </w:abstractNum>
  <w:num w:numId="17">
    <w:abstractNumId w:val="16"/>
  </w:num>
  <w:abstractNum w:abstractNumId="17">
    <w:multiLevelType w:val="singleLevel"/>
    <w:lvl w:ilvl="0">
      <w:start w:val="1"/>
      <w:numFmt w:val="bullet"/>
      <w:lvlText w:val="•"/>
      <w:suff w:val="tab"/>
      <w:lvlJc w:val="left"/>
      <w:pPr>
        <w:tabs>
          <w:tab w:val="num" w:pos="540"/>
        </w:tabs>
        <w:ind w:left="540" w:hanging="280"/>
      </w:pPr>
      <w:rPr>
        <w:rFonts w:ascii="Symbol" w:hAnsi="Symbol"/>
      </w:rPr>
    </w:lvl>
  </w:abstractNum>
  <w:num w:numId="18">
    <w:abstractNumId w:val="17"/>
  </w:num>
  <w:abstractNum w:abstractNumId="18">
    <w:multiLevelType w:val="singleLevel"/>
    <w:lvl w:ilvl="0">
      <w:start w:val="1"/>
      <w:numFmt w:val="decimal"/>
      <w:lvlText w:val="%1. "/>
      <w:suff w:val="tab"/>
      <w:lvlJc w:val="left"/>
      <w:pPr>
        <w:tabs>
          <w:tab w:val="num" w:pos="540"/>
        </w:tabs>
        <w:ind w:left="540" w:hanging="280"/>
      </w:pPr>
    </w:lvl>
  </w:abstractNum>
  <w:num w:numId="19">
    <w:abstractNumId w:val="18"/>
  </w:num>
  <w:abstractNum w:abstractNumId="19">
    <w:multiLevelType w:val="singleLevel"/>
    <w:lvl w:ilvl="0">
      <w:start w:val="1"/>
      <w:numFmt w:val="bullet"/>
      <w:lvlText w:val="•"/>
      <w:suff w:val="tab"/>
      <w:lvlJc w:val="left"/>
      <w:pPr>
        <w:tabs>
          <w:tab w:val="num" w:pos="540"/>
        </w:tabs>
        <w:ind w:left="540" w:hanging="280"/>
      </w:pPr>
      <w:rPr>
        <w:rFonts w:ascii="Symbol" w:hAnsi="Symbol"/>
      </w:rPr>
    </w:lvl>
  </w:abstractNum>
  <w:num w:numId="20">
    <w:abstractNumId w:val="19"/>
  </w:num>
  <w:abstractNum w:abstractNumId="20">
    <w:multiLevelType w:val="singleLevel"/>
    <w:lvl w:ilvl="0">
      <w:start w:val="1"/>
      <w:numFmt w:val="decimal"/>
      <w:lvlText w:val="%1. "/>
      <w:suff w:val="tab"/>
      <w:lvlJc w:val="left"/>
      <w:pPr>
        <w:tabs>
          <w:tab w:val="num" w:pos="540"/>
        </w:tabs>
        <w:ind w:left="540" w:hanging="280"/>
      </w:pPr>
    </w:lvl>
  </w:abstractNum>
  <w:num w:numId="2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60" w:line="320" w:lineRule="auto"/>
    </w:pPr>
    <w:rPr>
      <w:rFonts w:ascii="Calibri" w:hAnsi="Calibri"/>
      <w:color w:val="18212B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20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Calibri" w:hAnsi="Calibri"/>
      <w:b/>
      <w:bCs/>
      <w:color w:val="1F4D78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Биоценоз: Воздух — научно-прикладная концепция</dc:title>
  <dc:subject>Мониторинг аэробиома и качества воздушной среды</dc:subject>
  <dc:creator>Соколов Сергей Леонидович</dc:creator>
  <cp:keywords>ЭКВИЛИБРИУМ, ECO-PPA, СПЕЦЗАЩИТА, аэробиом, воздух, мониторинг</cp:keywords>
  <dc:description>Концептуальный документ проекта ОРИОН 22:22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