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/>
        <w:jc w:val="left"/>
      </w:pPr>
      <w:r>
        <w:rPr>
          <w:rFonts w:ascii="Calibri" w:hAnsi="Calibri" w:eastAsia="Calibri"/>
          <w:b/>
          <w:color w:val="2E74B5"/>
          <w:sz w:val="18"/>
        </w:rPr>
        <w:t>СТРАТЕГИЧЕСКИЙ АНАЛИТИЧЕСКИЙ МАТЕРИАЛ</w:t>
      </w:r>
    </w:p>
    <w:p>
      <w:pPr>
        <w:spacing w:before="2200" w:after="360"/>
        <w:jc w:val="left"/>
      </w:pPr>
      <w:r>
        <w:rPr>
          <w:rFonts w:ascii="Calibri" w:hAnsi="Calibri" w:eastAsia="Calibri"/>
          <w:b/>
          <w:color w:val="17365D"/>
          <w:sz w:val="56"/>
        </w:rPr>
        <w:t>Балансы России</w:t>
        <w:br/>
        <w:t>за 130 лет</w:t>
      </w:r>
    </w:p>
    <w:p>
      <w:pPr>
        <w:jc w:val="left"/>
      </w:pPr>
      <w:r>
        <w:rPr>
          <w:rFonts w:ascii="Calibri" w:hAnsi="Calibri" w:eastAsia="Calibri"/>
          <w:b/>
          <w:color w:val="2E74B5"/>
          <w:sz w:val="36"/>
        </w:rPr>
        <w:t>1896–2026</w:t>
      </w:r>
    </w:p>
    <w:p>
      <w:pPr>
        <w:spacing w:before="600"/>
        <w:jc w:val="left"/>
      </w:pPr>
      <w:r>
        <w:rPr>
          <w:rFonts w:ascii="Calibri" w:hAnsi="Calibri" w:eastAsia="Calibri"/>
          <w:b/>
          <w:color w:val="243447"/>
          <w:sz w:val="26"/>
        </w:rPr>
        <w:t>Российская империя  •  СССР  •  Российская Федерация</w:t>
      </w:r>
    </w:p>
    <w:p>
      <w:pPr>
        <w:jc w:val="left"/>
      </w:pPr>
      <w:r>
        <w:rPr>
          <w:rFonts w:ascii="Calibri" w:hAnsi="Calibri" w:eastAsia="Calibri"/>
          <w:color w:val="5B6573"/>
          <w:sz w:val="24"/>
        </w:rPr>
        <w:t>Влияние Академии наук на демографический, ресурсный, энергетический, промышленный и научно-технологический балансы</w:t>
      </w:r>
    </w:p>
    <w:p>
      <w:pPr>
        <w:spacing w:before="1800"/>
        <w:jc w:val="left"/>
      </w:pPr>
      <w:r>
        <w:rPr>
          <w:rFonts w:ascii="Calibri" w:hAnsi="Calibri" w:eastAsia="Calibri"/>
          <w:color w:val="5B6573"/>
          <w:sz w:val="20"/>
        </w:rPr>
        <w:t>Подготовлено для Соколова Сергея Леонидовича</w:t>
        <w:br/>
        <w:t>Версия 1.0  •  27 августа 2026 года</w:t>
      </w:r>
    </w:p>
    <w:p>
      <w:r>
        <w:br w:type="page"/>
      </w:r>
    </w:p>
    <w:p>
      <w:pPr>
        <w:pStyle w:val="Heading1"/>
      </w:pPr>
      <w:r>
        <w:t>Оглавление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8160"/>
        <w:gridCol w:w="1200"/>
      </w:tblGrid>
      <w:tr>
        <w:trPr>
          <w:cantSplit/>
          <w:tblHeader w:val="true"/>
        </w:trPr>
        <w:tc>
          <w:tcPr>
            <w:tcW w:type="dxa" w:w="8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Раздел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Страница</w:t>
            </w:r>
          </w:p>
        </w:tc>
      </w:tr>
      <w:tr>
        <w:trPr>
          <w:cantSplit/>
        </w:trPr>
        <w:tc>
          <w:tcPr>
            <w:tcW w:type="dxa" w:w="8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Резюме для принятия решений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3</w:t>
            </w:r>
          </w:p>
        </w:tc>
      </w:tr>
      <w:tr>
        <w:trPr>
          <w:cantSplit/>
        </w:trPr>
        <w:tc>
          <w:tcPr>
            <w:tcW w:type="dxa" w:w="81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Методика: как читать 130-летний ряд</w:t>
            </w:r>
          </w:p>
        </w:tc>
        <w:tc>
          <w:tcPr>
            <w:tcW w:type="dxa" w:w="12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4</w:t>
            </w:r>
          </w:p>
        </w:tc>
      </w:tr>
      <w:tr>
        <w:trPr>
          <w:cantSplit/>
        </w:trPr>
        <w:tc>
          <w:tcPr>
            <w:tcW w:type="dxa" w:w="8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Карта 11 эпох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5</w:t>
            </w:r>
          </w:p>
        </w:tc>
      </w:tr>
      <w:tr>
        <w:trPr>
          <w:cantSplit/>
        </w:trPr>
        <w:tc>
          <w:tcPr>
            <w:tcW w:type="dxa" w:w="81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Российская империя, война и НЭП: эпохи 1–3</w:t>
            </w:r>
          </w:p>
        </w:tc>
        <w:tc>
          <w:tcPr>
            <w:tcW w:type="dxa" w:w="12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6–10</w:t>
            </w:r>
          </w:p>
        </w:tc>
      </w:tr>
      <w:tr>
        <w:trPr>
          <w:cantSplit/>
        </w:trPr>
        <w:tc>
          <w:tcPr>
            <w:tcW w:type="dxa" w:w="8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СССР: индустриализация, война, восстановление, зрелость и перестройка — эпохи 4–8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11–19</w:t>
            </w:r>
          </w:p>
        </w:tc>
      </w:tr>
      <w:tr>
        <w:trPr>
          <w:cantSplit/>
        </w:trPr>
        <w:tc>
          <w:tcPr>
            <w:tcW w:type="dxa" w:w="81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Российская Федерация: эпохи 9–11</w:t>
            </w:r>
          </w:p>
        </w:tc>
        <w:tc>
          <w:tcPr>
            <w:tcW w:type="dxa" w:w="12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20–25</w:t>
            </w:r>
          </w:p>
        </w:tc>
      </w:tr>
      <w:tr>
        <w:trPr>
          <w:cantSplit/>
        </w:trPr>
        <w:tc>
          <w:tcPr>
            <w:tcW w:type="dxa" w:w="8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Пять сквозных балансов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26–30</w:t>
            </w:r>
          </w:p>
        </w:tc>
      </w:tr>
      <w:tr>
        <w:trPr>
          <w:cantSplit/>
        </w:trPr>
        <w:tc>
          <w:tcPr>
            <w:tcW w:type="dxa" w:w="81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Влияние и границы влияния Академии наук</w:t>
            </w:r>
          </w:p>
        </w:tc>
        <w:tc>
          <w:tcPr>
            <w:tcW w:type="dxa" w:w="12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31–32</w:t>
            </w:r>
          </w:p>
        </w:tc>
      </w:tr>
      <w:tr>
        <w:trPr>
          <w:cantSplit/>
        </w:trPr>
        <w:tc>
          <w:tcPr>
            <w:tcW w:type="dxa" w:w="81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Академический регистр и дорожная карта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33–34</w:t>
            </w:r>
          </w:p>
        </w:tc>
      </w:tr>
      <w:tr>
        <w:trPr>
          <w:cantSplit/>
        </w:trPr>
        <w:tc>
          <w:tcPr>
            <w:tcW w:type="dxa" w:w="81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Приложения и источники</w:t>
            </w:r>
          </w:p>
        </w:tc>
        <w:tc>
          <w:tcPr>
            <w:tcW w:type="dxa" w:w="12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35–39</w:t>
            </w:r>
          </w:p>
        </w:tc>
      </w:tr>
    </w:tbl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/>
          <w:color w:val="5B6573"/>
          <w:sz w:val="18"/>
        </w:rPr>
        <w:t>Все цифры снабжены указанием территории и источника; округления обозначены знаком ≈.</w:t>
      </w:r>
    </w:p>
    <w:p>
      <w:r>
        <w:br w:type="page"/>
      </w:r>
    </w:p>
    <w:p>
      <w:pPr>
        <w:pStyle w:val="Heading1"/>
      </w:pPr>
      <w:r>
        <w:t>Резюме для принятия решений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За 130 лет Россия трижды меняла хозяйственный строй, но центральная задача оставалась одной: согласовать пространство, население, энергию, знания и безопасность.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550"/>
        <w:gridCol w:w="1700"/>
        <w:gridCol w:w="1700"/>
        <w:gridCol w:w="1700"/>
        <w:gridCol w:w="2710"/>
      </w:tblGrid>
      <w:tr>
        <w:trPr>
          <w:cantSplit/>
          <w:tblHeader w:val="true"/>
        </w:trPr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Сдвиг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1897 / 1913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Советский максимум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РФ: последняя точка</w:t>
            </w:r>
          </w:p>
        </w:tc>
        <w:tc>
          <w:tcPr>
            <w:tcW w:type="dxa" w:w="27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Что это означает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Урбанизация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13,4% по империи; ≈15% на территории РФ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73% в РСФСР, 1989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75%, 2025</w:t>
            </w:r>
          </w:p>
        </w:tc>
        <w:tc>
          <w:tcPr>
            <w:tcW w:type="dxa" w:w="27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Страна стала городской; дефицит переместился из базовой инфраструктуры в качество среды и кадры.</w:t>
            </w:r>
          </w:p>
        </w:tc>
      </w:tr>
      <w:tr>
        <w:trPr>
          <w:cantSplit/>
        </w:trPr>
        <w:tc>
          <w:tcPr>
            <w:tcW w:type="dxa" w:w="15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17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≈1,94 млрд кВт·ч, 1913</w:t>
            </w:r>
          </w:p>
        </w:tc>
        <w:tc>
          <w:tcPr>
            <w:tcW w:type="dxa" w:w="17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1 705 млрд кВт·ч, СССР, 1988</w:t>
            </w:r>
          </w:p>
        </w:tc>
        <w:tc>
          <w:tcPr>
            <w:tcW w:type="dxa" w:w="17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1 183,9 млрд кВт·ч, РФ, 2025</w:t>
            </w:r>
          </w:p>
        </w:tc>
        <w:tc>
          <w:tcPr>
            <w:tcW w:type="dxa" w:w="271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Энергетический контур вырос на три порядка; границы СССР и РФ различаются.</w:t>
            </w:r>
          </w:p>
        </w:tc>
      </w:tr>
      <w:tr>
        <w:trPr>
          <w:cantSplit/>
        </w:trPr>
        <w:tc>
          <w:tcPr>
            <w:tcW w:type="dxa" w:w="1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Научные кадры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не было массового контура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≈1,49 млн работников науки, 1985</w:t>
            </w:r>
          </w:p>
        </w:tc>
        <w:tc>
          <w:tcPr>
            <w:tcW w:type="dxa" w:w="1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≈676 тыс. персонала НИОКР, 2024</w:t>
            </w:r>
          </w:p>
        </w:tc>
        <w:tc>
          <w:tcPr>
            <w:tcW w:type="dxa" w:w="27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Главный риск — воспроизводство исследователей и инженерного оборудования.</w:t>
            </w:r>
          </w:p>
        </w:tc>
      </w:tr>
      <w:tr>
        <w:trPr>
          <w:cantSplit/>
        </w:trPr>
        <w:tc>
          <w:tcPr>
            <w:tcW w:type="dxa" w:w="15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Демография</w:t>
            </w:r>
          </w:p>
        </w:tc>
        <w:tc>
          <w:tcPr>
            <w:tcW w:type="dxa" w:w="17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125,64 млн по империи, 1897</w:t>
            </w:r>
          </w:p>
        </w:tc>
        <w:tc>
          <w:tcPr>
            <w:tcW w:type="dxa" w:w="17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147,0 млн в РСФСР, 1989</w:t>
            </w:r>
          </w:p>
        </w:tc>
        <w:tc>
          <w:tcPr>
            <w:tcW w:type="dxa" w:w="17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146,03 млн в РФ, 2025</w:t>
            </w:r>
          </w:p>
        </w:tc>
        <w:tc>
          <w:tcPr>
            <w:tcW w:type="dxa" w:w="271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Размер населения стабилен на длинном отрезке территории РФ, но возрастная структура и естественная убыль ухудшают баланс.</w:t>
            </w:r>
          </w:p>
        </w:tc>
      </w:tr>
    </w:tbl>
    <w:p>
      <w:pPr>
        <w:pStyle w:val="Heading2"/>
      </w:pPr>
      <w:r>
        <w:t>Пять выводов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Физический масштаб — необходимое, но недостаточное условие устойчивости. СССР создал огромные мощности, однако к 1980-м отдача от дополнительных ресурсов снижалась.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Наиболее успешные технологические рывки возникали там, где фундаментальная наука, государственный заказ, проектное управление и серийное производство действовали как единый контур.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Академия сильнее всего влияла на измерение территории и ресурсов, подготовку научных школ, постановку сложных задач и экспертизу. Она не могла самостоятельно исправить денежные, ценовые или политические дисбалансы.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Самые тяжелые провалы приходились на одновременный разрыв нескольких контуров: 1914–1921, 1941–1945, 1988–1998. Локальный дефицит становился системным, когда прекращалась синхронизация транспорта, денег, собственности и данных.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Для горизонта 2026–2035 нужен не единый индекс благополучия, а реестр запасов, потоков, нормативов и стресс-сценариев с явной ответственностью за данные и решения.</w:t>
      </w:r>
    </w:p>
    <w:p>
      <w:r>
        <w:br w:type="page"/>
      </w:r>
    </w:p>
    <w:p>
      <w:pPr>
        <w:pStyle w:val="Heading1"/>
      </w:pPr>
      <w:r>
        <w:t>Методика: как читать 130-летний ряд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F1D9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ФАКТ  </w:t>
            </w:r>
            <w:r>
              <w:rPr>
                <w:rFonts w:ascii="Calibri" w:hAnsi="Calibri" w:eastAsia="Calibri"/>
                <w:color w:val="243447"/>
                <w:sz w:val="19"/>
              </w:rPr>
              <w:t>Российская империя, СССР, РСФСР и РФ имеют разные границы, валюты, системы цен и статистические определения. Поэтому документ не склеивает их в одну механическую линию ВВП.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Единица анализа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Национальный баланс — это согласование запаса, потока, воспроизводства и риска. Для каждой эпохи рассматриваются восемь контуров: население, продовольствие, энергия, ресурсы, промышленность и капитал, инфраструктура, финансы и внешний счет, знания и технологии.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400"/>
        <w:gridCol w:w="6960"/>
      </w:tblGrid>
      <w:tr>
        <w:trPr>
          <w:cantSplit/>
          <w:tblHeader w:val="true"/>
        </w:trP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Статус</w:t>
            </w:r>
          </w:p>
        </w:tc>
        <w:tc>
          <w:tcPr>
            <w:tcW w:type="dxa" w:w="6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Как используется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ФАКТ</w:t>
            </w:r>
          </w:p>
        </w:tc>
        <w:tc>
          <w:tcPr>
            <w:tcW w:type="dxa" w:w="6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Число или событие из официального/первичного источника.</w:t>
            </w:r>
          </w:p>
        </w:tc>
      </w:tr>
      <w:tr>
        <w:trPr>
          <w:cantSplit/>
        </w:trPr>
        <w:tc>
          <w:tcPr>
            <w:tcW w:type="dxa" w:w="24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ИСТОРИЧЕСКАЯ ИНТЕРПРЕТАЦИЯ</w:t>
            </w:r>
          </w:p>
        </w:tc>
        <w:tc>
          <w:tcPr>
            <w:tcW w:type="dxa" w:w="69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Объяснение связи показателей; допускает альтернативные трактовки.</w:t>
            </w:r>
          </w:p>
        </w:tc>
      </w:tr>
      <w:tr>
        <w:trPr>
          <w:cantSplit/>
        </w:trP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ЭКСПЕРТНЫЙ СИНТЕЗ</w:t>
            </w:r>
          </w:p>
        </w:tc>
        <w:tc>
          <w:tcPr>
            <w:tcW w:type="dxa" w:w="69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Сопоставление эпох по единой рамке; оценки напряженности не являются государственной статистикой.</w:t>
            </w:r>
          </w:p>
        </w:tc>
      </w:tr>
      <w:tr>
        <w:trPr>
          <w:cantSplit/>
        </w:trPr>
        <w:tc>
          <w:tcPr>
            <w:tcW w:type="dxa" w:w="24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ПРОЕКТНОЕ ПРЕДЛОЖЕНИЕ</w:t>
            </w:r>
          </w:p>
        </w:tc>
        <w:tc>
          <w:tcPr>
            <w:tcW w:type="dxa" w:w="69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8"/>
              </w:rPr>
              <w:t>Предлагаемая архитектура мониторинга; не описание действующей государственной системы.</w:t>
            </w:r>
          </w:p>
        </w:tc>
      </w:tr>
    </w:tbl>
    <w:p>
      <w:pPr>
        <w:pStyle w:val="Heading2"/>
      </w:pPr>
      <w:r>
        <w:t>Главные разрывы сопоставимости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Территория: перепись 1897 года не включала Финляндию; советские ряды 1913 года часто пересчитаны в будущих границах СССР.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Население: в ранних переписях использовалось наличное население, позднее — постоянное; менялось определение города.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Цены: золотой, советский и современный рубль не сопоставимы без специальных реконструкций. Поэтому предпочтение отдано физическим величинам.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Наука: «работники науки» СССР и «персонал НИОКР» РФ близки, но не тождественны по охвату.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Причинность: участие Академии отделено от решения государства и от фактического промышленного эффекта.</w:t>
      </w:r>
    </w:p>
    <w:p>
      <w:pPr>
        <w:pStyle w:val="Heading2"/>
      </w:pPr>
      <w:r>
        <w:t>Расчетные акценты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Электроэнергия СССР выросла с 1,94 млрд кВт·ч в 1913 году до 1 705 млрд кВт·ч в 1988 году — примерно в 879 раз. Этот коэффициент показывает масштаб энергетизации, но не измеряет благосостояние и не переносится на РФ после 1991 года.</w:t>
      </w:r>
    </w:p>
    <w:p>
      <w:r>
        <w:br w:type="page"/>
      </w:r>
    </w:p>
    <w:p>
      <w:pPr>
        <w:pStyle w:val="Heading1"/>
      </w:pPr>
      <w:r>
        <w:t>Карта 11 эпох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350"/>
        <w:gridCol w:w="2450"/>
        <w:gridCol w:w="5560"/>
      </w:tblGrid>
      <w:tr>
        <w:trPr>
          <w:cantSplit/>
          <w:tblHeader w:val="true"/>
        </w:trPr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Период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Эпоха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Доминирующая логика баланса</w:t>
            </w:r>
          </w:p>
        </w:tc>
      </w:tr>
      <w:tr>
        <w:trPr>
          <w:cantSplit/>
        </w:trPr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1896–1913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Имперская модернизация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Быстрый рост верхнего промышленно-финансового контура при преимущественно сельском и малограмотном обществе.</w:t>
            </w:r>
          </w:p>
        </w:tc>
      </w:tr>
      <w:tr>
        <w:trPr>
          <w:cantSplit/>
        </w:trPr>
        <w:tc>
          <w:tcPr>
            <w:tcW w:type="dxa" w:w="13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1914–1921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Война, революция и распад хозяйственных связей</w:t>
            </w:r>
          </w:p>
        </w:tc>
        <w:tc>
          <w:tcPr>
            <w:tcW w:type="dxa" w:w="5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Мобилизация разрушила золотой денежный режим, а затем и единый контур снабжения, транспорта и собственности.</w:t>
            </w:r>
          </w:p>
        </w:tc>
      </w:tr>
      <w:tr>
        <w:trPr>
          <w:cantSplit/>
        </w:trPr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1922–1928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НЭП и восстановление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Возврат ограниченных рыночных стимулов восстановил обмен между деревней и городом; энергетика стала первым общегосударственным балансом.</w:t>
            </w:r>
          </w:p>
        </w:tc>
      </w:tr>
      <w:tr>
        <w:trPr>
          <w:cantSplit/>
        </w:trPr>
        <w:tc>
          <w:tcPr>
            <w:tcW w:type="dxa" w:w="13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1929–1940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Форсированная индустриализация</w:t>
            </w:r>
          </w:p>
        </w:tc>
        <w:tc>
          <w:tcPr>
            <w:tcW w:type="dxa" w:w="5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Государство концентрировало инвестиции в тяжелой промышленности и энергетике, принимая высокую социальную и аграрную цену.</w:t>
            </w:r>
          </w:p>
        </w:tc>
      </w:tr>
      <w:tr>
        <w:trPr>
          <w:cantSplit/>
        </w:trPr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1941–1945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Военно-мобилизационный баланс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Главным критерием стала не максимизация выпуска, а сохранение критических функций при потере территории, людей и мощностей.</w:t>
            </w:r>
          </w:p>
        </w:tc>
      </w:tr>
      <w:tr>
        <w:trPr>
          <w:cantSplit/>
        </w:trPr>
        <w:tc>
          <w:tcPr>
            <w:tcW w:type="dxa" w:w="13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1946–1964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Восстановление и технологический рывок</w:t>
            </w:r>
          </w:p>
        </w:tc>
        <w:tc>
          <w:tcPr>
            <w:tcW w:type="dxa" w:w="5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Реконструкция промышленности совпала с созданием атомного, ракетно-космического и массового образовательного контуров.</w:t>
            </w:r>
          </w:p>
        </w:tc>
      </w:tr>
      <w:tr>
        <w:trPr>
          <w:cantSplit/>
        </w:trPr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1965–1985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Зрелый СССР: масштаб и убывающая эффективность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Материальный и научный масштаб достиг максимума, но отдача от дополнительных ресурсов снижалась, а потребительский и инновационный контуры отставали.</w:t>
            </w:r>
          </w:p>
        </w:tc>
      </w:tr>
      <w:tr>
        <w:trPr>
          <w:cantSplit/>
        </w:trPr>
        <w:tc>
          <w:tcPr>
            <w:tcW w:type="dxa" w:w="13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1986–1991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Перестройка и распад единого контура</w:t>
            </w:r>
          </w:p>
        </w:tc>
        <w:tc>
          <w:tcPr>
            <w:tcW w:type="dxa" w:w="5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Попытка изменить стимулы без устойчивой архитектуры цен, собственности и межреспубликанских расчетов превратила скрытые дисбалансы в открытые.</w:t>
            </w:r>
          </w:p>
        </w:tc>
      </w:tr>
      <w:tr>
        <w:trPr>
          <w:cantSplit/>
        </w:trPr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1992–1999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Переходный шок Российской Федерации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Рыночные институты создавались одновременно с распадом спроса, кооперации, бюджета и научно-производственных связей.</w:t>
            </w:r>
          </w:p>
        </w:tc>
      </w:tr>
      <w:tr>
        <w:trPr>
          <w:cantSplit/>
        </w:trPr>
        <w:tc>
          <w:tcPr>
            <w:tcW w:type="dxa" w:w="13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2000–2013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Стабилизация и ресурсно-финансовое укрепление</w:t>
            </w:r>
          </w:p>
        </w:tc>
        <w:tc>
          <w:tcPr>
            <w:tcW w:type="dxa" w:w="5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Высокие экспортные доходы, налоговая централизация и загрузка свободных мощностей восстановили макроэкономический и социальный балансы.</w:t>
            </w:r>
          </w:p>
        </w:tc>
      </w:tr>
      <w:tr>
        <w:trPr>
          <w:cantSplit/>
        </w:trPr>
        <w:tc>
          <w:tcPr>
            <w:tcW w:type="dxa" w:w="13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2014–2026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Адаптация и структурный поворот</w:t>
            </w:r>
          </w:p>
        </w:tc>
        <w:tc>
          <w:tcPr>
            <w:tcW w:type="dxa" w:w="5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Экономика сохраняет устойчивость к внешним шокам, но сталкивается с демографическим сжатием, кадровыми ограничениями и задачей технологической автономии.</w:t>
            </w:r>
          </w:p>
        </w:tc>
      </w:tr>
    </w:tbl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/>
          <w:color w:val="5B6573"/>
          <w:sz w:val="18"/>
        </w:rPr>
        <w:t>Принцип периодизации: граница эпохи ставится там, где меняется механизм согласования ресурсов — денежный режим, собственность, планирование, мобилизация, внешний контур или архитектура науки.</w:t>
      </w:r>
    </w:p>
    <w:p>
      <w:r>
        <w:br w:type="page"/>
      </w:r>
    </w:p>
    <w:p>
      <w:pPr>
        <w:pStyle w:val="Heading1"/>
      </w:pPr>
      <w:r>
        <w:t>1. 1896–1913</w:t>
        <w:br/>
        <w:t>Имперская модернизация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Быстрый рост верхнего промышленно-финансового контура при преимущественно сельском и малограмотном обществе.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125,64 млн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Российская империя без Финляндии, перепись 1897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[S01]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Городское население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13,4%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Российская империя, 1897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Грамотность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21,1%; мужчины 29,3%, женщины 13,1%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Российская империя, 1897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Ожидаемая продолжительность жизни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≈30,5 года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России, 1896–1897; историческая оценка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Зерно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≈50,5 млн т; около 560 кг на человека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России, 1913; округлено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≈1,94 млрд кВт·ч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 в будущих границах, 1913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[S08]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Уголь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29,2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 в будущих границах, 1913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[S07]</w:t>
            </w:r>
          </w:p>
        </w:tc>
      </w:tr>
    </w:tbl>
    <w:p>
      <w:r>
        <w:br w:type="page"/>
      </w:r>
    </w:p>
    <w:p>
      <w:pPr>
        <w:pStyle w:val="Heading1"/>
      </w:pPr>
      <w:r>
        <w:t>1. 1896–1913</w:t>
        <w:br/>
        <w:t>Числовой паспорт — продолжение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Нефть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≈10,3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 в будущих границах, 1913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[S07]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Сталь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≈4,2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 в будущих границах, 1913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[S07]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Железные дороги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≈70,2 тыс. км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Российская империя, 1913/14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[S36]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Баланс Госбанка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3,041 млрд руб.; золото 1,695 млрд руб.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 1 января 1914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[S06]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Академия создавала карты, классификации, научные школы и ресурсную разведку. В 1910 году возникла Радиевая комиссия, а в 1915 году — КЕПС: прототип связки «ресурсный реестр — научная экспертиза — государственный заказ».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F1D9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Сильная денежная и железнодорожная модернизация не успела закрыть дефициты массового образования, энергетики, логистики и управленческой информации.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2. 1914–1921</w:t>
        <w:br/>
        <w:t>Война, революция и распад хозяйственных связей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Мобилизация разрушила золотой денежный режим, а затем и единый контур снабжения, транспорта и собственности.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91,0 млн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современной РФ, оценка 1917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Городская доля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17%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современной РФ, 1917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Золотой размен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прекращен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 июля 1914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[S05]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Крупная промышленность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≈14% от уровня 1913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РСФСР/СССР, 1920; историческая оценка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0,5 млрд кВт·ч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РСФСР/СССР, 1920; округлено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[S08]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Зерно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≈50,5 → 34,0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России: 1913 → 1922; −33%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Доход на душу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&lt;50% уровня 1913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1919; историческая реконструкция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Железнодорожная система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пиковая перегрузка и разрывы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качественный итог, 1916–1921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[S36]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КЕПС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создана в 1915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Академия наук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[S11]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КЕПС искала стратегическое сырье и координировала специалистов, но не управляла бюджетом, транспортом или распределением. Ее важнейший эффект был отложенным: институциональные заделы перешли в советский период.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F1D9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Кризис был не только производственным. Одновременно сломались денежный якорь, транспортная синхронизация, собственность и статистическая управляемость.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3. 1922–1928</w:t>
        <w:br/>
        <w:t>НЭП и восстановление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Возврат ограниченных рыночных стимулов восстановил обмен между деревней и городом; энергетика стала первым общегосударственным балансом.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92,7 млн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современной РФ, перепись 1926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Городская доля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18%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современной РФ, 1926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Ожидаемая продолжительность жизни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≈42,9 года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России, 1926–1927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Зерно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34,0 → 50,0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России: 1922 → 1928; +47%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5,0 млрд кВт·ч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1928; в 2,6 раза к 1913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[S08]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Уголь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35,5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1928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Нефть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11,6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1928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</w:tbl>
    <w:p>
      <w:r>
        <w:br w:type="page"/>
      </w:r>
    </w:p>
    <w:p>
      <w:pPr>
        <w:pStyle w:val="Heading1"/>
      </w:pPr>
      <w:r>
        <w:t>3. 1922–1928</w:t>
        <w:br/>
        <w:t>Числовой паспорт — продолжение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Сталь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4,3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1928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ГОЭЛРО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1,75 млн кВт по плану; 2,56 млн кВт введено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новые мощности электростанций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[S10]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Вузы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248; 216,7 тыс. студентов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1922/23 учебный год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КЕПС и выросший из нее Совет по изучению производительных сил связывали геологию, размещение промышленности и электрификацию. По линии КЕПС/СОПС в дальнейшем возникли 16 институтов.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7F2EB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К 1928 году физические объемы базовых отраслей вернулись примерно к довоенному порядку, но капитал, технологии и товарное сельское хозяйство оставались узкими местами.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4. 1929–1940</w:t>
        <w:br/>
        <w:t>Форсированная индустриализация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Государство концентрировало инвестиции в тяжелой промышленности и энергетике, принимая высокую социальную и аграрную цену.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5,0 → 13,5 → 36,2 → 48,3 млрд кВт·ч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1928 / 1932 / 1937 / 1940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[S08]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Уголь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35,5 → 64,4 → 128 → 166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1928 / 1932 / 1937 / 1940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Нефть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11,6 → 21,4 → 28,5 → 31,1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1928 / 1932 / 1937 / 1940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Сталь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4,3 → 5,9 → 17,7 → 18,3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1928 / 1932 / 1937 / 1940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Зерно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47,5 → 70,4 → 55,6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России: 1932 / 1937 / 1940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108,4 млн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современной РФ, перепись 1939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Городская доля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33%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современной РФ, 1939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Студенты вузов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811,7 тыс.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1940/41 учебный год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Институциональный сдвиг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Академия переехала в Москву; отраслевые отделения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1934–1935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[S20]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Академические экспедиции и институты снижали неопределенность по сырью, энергии, металлургии и размещению. Научная сеть становилась частью планового контура, но решения о темпах и цене индустриализации принимались политически.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F1D9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За 12 лет выпуск электроэнергии вырос почти в 10 раз, стали — более чем в 4 раза. Баланс обороноспособности усилился, потребительский и аграрный балансы оставались напряженными.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5. 1941–1945</w:t>
        <w:br/>
        <w:t>Военно-мобилизационный баланс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Главным критерием стала не максимизация выпуска, а сохранение критических функций при потере территории, людей и мощностей.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Общие демографические потери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≈26,6 млн человек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официальная оценка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 РСФСР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≈111,0 → 97,6 млн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1941 → начало 1946; оценка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[S14]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Зерно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55,6 → 25,4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России: 1940 → 1945; −54%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ВВП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≈66% / 83% уровня 1940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1942 / 1945; реконструкция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Выпуск вооружений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≈251% уровня 1940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1944; индекс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48,3 → 43,3 млрд кВт·ч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1940 → 1945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[S08]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Нефть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31,1 → 19,4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1940 → 1945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</w:tbl>
    <w:p>
      <w:r>
        <w:br w:type="page"/>
      </w:r>
    </w:p>
    <w:p>
      <w:pPr>
        <w:pStyle w:val="Heading1"/>
      </w:pPr>
      <w:r>
        <w:t>5. 1941–1945</w:t>
        <w:br/>
        <w:t>Числовой паспорт — продолжение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Сталь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18,3 → 12,3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1940 → 1945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ФТИ: первичный поток идей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847 предложений за первые 2 месяца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комиссия под руководством Н. Н. Семенова, 1941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Импульсный радар «Редут»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дальность обнаружения до 150 км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разработки физико-технической школы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ФТИ в Казани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8 из 18 лабораторий; около 70 сотрудников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эвакуация 1941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Диссертации ФТИ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38: 10 докторских и 28 кандидатских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1941–1945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[S13]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Академия обеспечивала быстрый цикл «задача фронта — лабораторное решение — внедрение»: размагничивание кораблей, радиолокация, безопасность ледовой трассы, медицина, ядерный задел. Это проверяемые кейсы, а не основание приписывать науке весь военный результат.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F1D9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Физический выпуск базовых отраслей снизился, но институциональная способность перераспределять знания, кадры и производство сохранила критические функции государства.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Проверяемый кейс: ФТИ в годы войны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Летом 1941 года ФТИ имел 18 лабораторий и более 300 сотрудников. Комиссия под руководством Н. Н. Семенова рассмотрела 847 предложений за первые два месяца. В Казань эвакуировали 8 лабораторий и около 70 сотрудников; в ленинградской группе остались 103 человека. Результаты включали размагничивание кораблей, импульсный радар и приборы для безопасного движения по ледовой трассе [S13].</w:t>
      </w:r>
    </w:p>
    <w:p>
      <w:r>
        <w:br w:type="page"/>
      </w:r>
    </w:p>
    <w:p>
      <w:pPr>
        <w:pStyle w:val="Heading1"/>
      </w:pPr>
      <w:r>
        <w:t>6. 1946–1964</w:t>
        <w:br/>
        <w:t>Восстановление и технологический рывок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Реконструкция промышленности совпала с созданием атомного, ракетно-космического и массового образовательного контуров.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43,3 → 91,2 → около 292 млрд кВт·ч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1945 / 1950 / 1960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[S08]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Нефть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19,4 → 37,9 → 147,9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1945 / 1950 / 1960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Сталь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12,3 → 27,3 → около 65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1945 / 1950 / 1960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[S09]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 РСФСР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63,4 → 304,6 млрд кВт·ч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1950 → 1964; ×4,8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Зерно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46,8 → 83,2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России: 1950 → 1964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117,2 млн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современной РФ, перепись 1959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Городская доля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52%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современной РФ, 1959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</w:tbl>
    <w:p>
      <w:r>
        <w:br w:type="page"/>
      </w:r>
    </w:p>
    <w:p>
      <w:pPr>
        <w:pStyle w:val="Heading1"/>
      </w:pPr>
      <w:r>
        <w:t>6. 1946–1964</w:t>
        <w:br/>
        <w:t>Числовой паспорт — продолжение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Ожидаемая продолжительность жизни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≈67,9 → 69,6 года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Россия: 1958/59 → 1964/65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Реактор Ф-1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пуск 25 декабря 1946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первый уран-графитовый реактор в Евразии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[S18]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Спутник / Гагарин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1957 / 1961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[S19]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Сибирское отделение АН СССР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создано в 1957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новая территориальная модель науки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[S17]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Академическая среда была ядром межотраслевых проектов: физика, математика, химия, материаловедение и геология объединялись с закрытыми КБ и промышленностью. Создание СО АН СССР приблизило исследования к ресурсной базе Сибири.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7F2EB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К середине 1960-х восстановление перешло в технологическую экспансию. Сильнейшим активом стал связанный контур образования, Академии, отраслевой науки и серийной промышленности.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7. 1965–1985</w:t>
        <w:br/>
        <w:t>Зрелый СССР: масштаб и убывающая эффективность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Материальный и научный масштаб достиг максимума, но отдача от дополнительных ресурсов снижалась, а потребительский и инновационный контуры отставали.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507 → 1 039 → 1 544 млрд кВт·ч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1965 / 1975 / 1985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Нефть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243 → около 491 → около 595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1965 / 1975 / 1985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Уголь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578 → около 701 → около 726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1965 / 1975 / 1985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Сталь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91 → около 141 → около 155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1965 / 1975 / 1985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 РСФСР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332,8 → 962 млрд кВт·ч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1965 → 1985; ×2,9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Ожидаемая продолжительность жизни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≈69,5 → 68,1 года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РСФСР: 1965 → 1985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Импорт зерна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45,5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1984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</w:tbl>
    <w:p>
      <w:r>
        <w:br w:type="page"/>
      </w:r>
    </w:p>
    <w:p>
      <w:pPr>
        <w:pStyle w:val="Heading1"/>
      </w:pPr>
      <w:r>
        <w:t>7. 1965–1985</w:t>
        <w:br/>
        <w:t>Числовой паспорт — продолжение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Топливо и сырье в экспорте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≈16% → 54%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1960 → 1985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 РСФСР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129,9 → 137,4 → 147,0 млн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переписи 1970 / 1979 / 1989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Городская доля РСФСР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62% → 69% → 73%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1970 / 1979 / 1989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Работники науки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664,6 тыс. → 1 223,4 тыс. → около 1 491 тыс.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1965 / 1975 / 1985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[S16]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Студенты вузов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4,58 млн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1970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Среднегодовой рост нацдохода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7,5% → 5,8% → 3,8%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8-я / 9-я / 10-я пятилетки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Академия обеспечивала фундаментальную базу оборонных, космических, энергетических и геологических программ. Слабым звеном становился переход от результата института к массовой гражданской технологии и производительности.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F1D9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Экономика получила огромные запасы мощности и человеческого капитала, но поток эффективности замедлялся. Масштаб больше не компенсировал слабые стимулы, дефициты и длинный цикл внедрения.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8. 1986–1991</w:t>
        <w:br/>
        <w:t>Перестройка и распад единого контура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Попытка изменить стимулы без устойчивой архитектуры цен, собственности и межреспубликанских расчетов превратила скрытые дисбалансы в открытые.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1 544 → 1 705 млрд кВт·ч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1985 → 1988; затем стагнация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Нефть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595 → 624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СССР: 1985 → 1988; затем спад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Работники науки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1,49 млн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СССР, 1985; пик системы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[S16]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Сбережения населения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230 млрд руб.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вклады в сберкассах, 1985; номинал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 РСФСР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147,0 млн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перепись 1989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Городская доля РСФСР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73%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перепись 1989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Ожидаемая продолжительность жизни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≈70,1 года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РСФСР, 1986–1987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</w:tbl>
    <w:p>
      <w:r>
        <w:br w:type="page"/>
      </w:r>
    </w:p>
    <w:p>
      <w:pPr>
        <w:pStyle w:val="Heading1"/>
      </w:pPr>
      <w:r>
        <w:t>8. 1986–1991</w:t>
        <w:br/>
        <w:t>Числовой паспорт — продолжение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 РСФСР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≈1 082 млрд кВт·ч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1990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[S15]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Зерно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≈116,7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РСФСР, 1990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РАН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восстановлена указом 21 ноября 1991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институциональная преемственность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[S21]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Научный комплекс оставался крупным, но зависел от союзного бюджета, заказчиков и цепочек кооперации. Академия могла диагностировать проблемы, но не заменить механизм цен, бюджета и политического согласования.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F1D9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Запасы производственного и научного капитала были велики, однако денежный, товарный и институциональный потоки перестали согласовываться. Распад СССР разорвал единое пространство данных и кооперации.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9. 1992–1999</w:t>
        <w:br/>
        <w:t>Переходный шок Российской Федерации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Рыночные институты создавались одновременно с распадом спроса, кооперации, бюджета и научно-производственных связей.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ИПЦ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≈2 508,8%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1992 к 1991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Реальный ВВП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снижение примерно на 40%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1991–1998; порядок величины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147 млн → 146,3 млн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начало и конец десятилетия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Ожидаемая продолжительность жизни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64,0 → 65,9 года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Россия: 1994 → 1999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[S25]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Зерно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116,7 → 47,8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Россия: 1990 → 1998; −59%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Исследователи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992,6 → 425,9 тыс.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Россия: 1990 → 2000; −57%; отдельная категория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[S30]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Персонал НИОКР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1 061 тыс.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1995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[S30]</w:t>
            </w:r>
          </w:p>
        </w:tc>
      </w:tr>
    </w:tbl>
    <w:p>
      <w:r>
        <w:br w:type="page"/>
      </w:r>
    </w:p>
    <w:p>
      <w:pPr>
        <w:pStyle w:val="Heading1"/>
      </w:pPr>
      <w:r>
        <w:t>9. 1992–1999</w:t>
        <w:br/>
        <w:t>Числовой паспорт — продолжение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Добыча нефти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305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минимум конца 1990-х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[S32]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846 млрд кВт·ч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1998; округлено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[S32]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Международные резервы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12,5 млрд долл.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конец 1999; порядок величины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РАН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правовой статус восстановлен в 1991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[S21]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Академия сохранила школы и преемственность при резком сжатии финансирования и оттоке кадров. Ее вклад периода — сохранение критической массы компетенций, а не компенсация макроэкономического спада.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F1D9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Ценовой механизм и частная собственность появились быстрее, чем долгий капитал, доверие и новая система научного заказа. Финансовая стабилизация к концу десятилетия сопровождалась потерей части человеческого капитала.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10. 2000–2013</w:t>
        <w:br/>
        <w:t>Стабилизация и ресурсно-финансовое укрепление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Высокие экспортные доходы, налоговая централизация и загрузка свободных мощностей восстановили макроэкономический и социальный балансы.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Средний рост ВВП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≈6,9% в год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1999–2008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Добыча нефти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≈305 → 523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1999 → 2013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[S32]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≈878 → 1 059 млрд кВт·ч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2000 → 2013; +21%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[S32]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Зерно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65,4 → 92,4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Россия: 2000 → 2013; +41%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Ожидаемая продолжительность жизни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≈65,3 → 70,8 года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2000 → 2013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[S25]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Суммарный коэффициент рождаемости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1,20 → 1,71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Россия: 2000 → 2013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[S25]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Бедность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29,0% → около 10,8%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2000 → 2013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[S27]</w:t>
            </w:r>
          </w:p>
        </w:tc>
      </w:tr>
    </w:tbl>
    <w:p>
      <w:r>
        <w:br w:type="page"/>
      </w:r>
    </w:p>
    <w:p>
      <w:pPr>
        <w:pStyle w:val="Heading1"/>
      </w:pPr>
      <w:r>
        <w:t>10. 2000–2013</w:t>
        <w:br/>
        <w:t>Числовой паспорт — продолжение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Международные резервы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≈12,5 → 510 млрд долл.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конец 1999 → конец 2013; округлено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Государственный долг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55,9% → 12,7% ВВП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Россия: 2000 → 2013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Персонал НИОКР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≈888 → 727 тыс.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2000 → 2013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[S30]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Городская доля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73% → 74%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переписи 2002 → 2010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[S03]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РАН сохраняла фундаментальные школы и экспертную функцию, но разрыв между исследованиями, университетами, государственными корпорациями и частным бизнесом оставался значительным.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7F2EB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Финансовые резервы и доходы населения резко выросли. Одновременно усилилась зависимость бюджета и внешнего счета от сырьевой ренты, а численность кадров НИОКР продолжала снижаться.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11. 2014–2026</w:t>
        <w:br/>
        <w:t>Адаптация и структурный поворот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ИСТОРИЧЕСКАЯ ИНТЕРПРЕТАЦИЯ  </w:t>
            </w:r>
            <w:r>
              <w:rPr>
                <w:rFonts w:ascii="Calibri" w:hAnsi="Calibri" w:eastAsia="Calibri"/>
                <w:color w:val="243447"/>
                <w:sz w:val="19"/>
              </w:rPr>
              <w:t>Экономика сохраняет устойчивость к внешним шокам, но сталкивается с демографическим сжатием, кадровыми ограничениями и задачей технологической автономии.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pPr>
        <w:pStyle w:val="Heading2"/>
      </w:pPr>
      <w:r>
        <w:t>Числовой паспорт эпохи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Средний рост ВВП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≈0,9% в год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2014–2019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Рост ВВП по годам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−1,4%; +4,1%; около +4–5%; +1,0%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2022 / 2023 / 2024 / 2025; 2024 уточнялся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[S23]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Рост ВВП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≈1,0%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2025; первая оценка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[S23]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146,03 млн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на 1 января 2025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[S25]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Рождения / смерти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1,222 / 1,819 млн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2024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[S26]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Суммарный коэффициент рождаемости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≈1,4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2024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[S26]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Ожидаемая продолжительность жизни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73,34 → 70,06 → 73,41 года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Россия: 2019 / 2021 / 2023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[S25]</w:t>
            </w:r>
          </w:p>
        </w:tc>
      </w:tr>
    </w:tbl>
    <w:p>
      <w:r>
        <w:br w:type="page"/>
      </w:r>
    </w:p>
    <w:p>
      <w:pPr>
        <w:pStyle w:val="Heading1"/>
      </w:pPr>
      <w:r>
        <w:t>11. 2014–2026</w:t>
        <w:br/>
        <w:t>Числовой паспорт — продолжение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100"/>
        <w:gridCol w:w="2100"/>
        <w:gridCol w:w="3900"/>
        <w:gridCol w:w="1260"/>
      </w:tblGrid>
      <w:tr>
        <w:trPr>
          <w:cantSplit/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Число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 и дата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Источник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Зерно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92,4 → 125,9 млн т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Россия: 2013 → 2024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[S04]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Бедность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6,7%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2025; новая методика после 2021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[S28]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Персонал НИОКР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676 тыс.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2024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[S29]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Внутренние затраты на НИОКР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0,97% ВВП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2024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[S31]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Электроэнергия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1 183,9 млрд кВт·ч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2025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[S32]</w:t>
            </w:r>
          </w:p>
        </w:tc>
      </w:tr>
      <w:tr>
        <w:trPr>
          <w:cantSplit/>
        </w:trPr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Нефть / газ / уголь</w:t>
            </w:r>
          </w:p>
        </w:tc>
        <w:tc>
          <w:tcPr>
            <w:tcW w:type="dxa" w:w="21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511,5 млн т / 663,3 млрд м³ / 440 млн т</w:t>
            </w:r>
          </w:p>
        </w:tc>
        <w:tc>
          <w:tcPr>
            <w:tcW w:type="dxa" w:w="3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Россия, 2025</w:t>
            </w:r>
          </w:p>
        </w:tc>
        <w:tc>
          <w:tcPr>
            <w:tcW w:type="dxa" w:w="12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[S32]</w:t>
            </w:r>
          </w:p>
        </w:tc>
      </w:tr>
      <w:tr>
        <w:trPr>
          <w:cantSplit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Экспертиза РАН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&gt;80 тыс. заключений; 661 организация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последний отчетный год</w:t>
            </w:r>
          </w:p>
        </w:tc>
        <w:tc>
          <w:tcPr>
            <w:tcW w:type="dxa" w:w="12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[S35]</w:t>
            </w:r>
          </w:p>
        </w:tc>
      </w:tr>
    </w:tbl>
    <w:p>
      <w:pPr>
        <w:pStyle w:val="Heading2"/>
      </w:pPr>
      <w:r>
        <w:t>Роль Академии наук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После реформы 2013 года РАН не управляет большинством институтов как прежде, но остается центром экспертизы, координации и научного представительства. Масштаб экспертизы — более 80 тыс. заключений для свыше 1 000 организаций, включая 661 институт и вуз.</w:t>
      </w:r>
    </w:p>
    <w:p>
      <w:pPr>
        <w:pStyle w:val="Heading2"/>
      </w:pPr>
      <w:r>
        <w:t>Итог национального баланса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F1D9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Краткосрочная адаптивность высока, долгосрочный риск сосредоточен в воспроизводстве населения, исследователей, оборудования и гражданских технологических цепочек.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Сквозной баланс 1. Население и урбанизация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06440" cy="3213603"/>
            <wp:docPr id="1" name="Picture 1" title="Население и урбанизация" descr="Источники: Росстат [S03], [S25]. Ряд относится к территории современной России; ранние точки реконструированы. Доля 2025 года округлен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1_population_urban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21360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Calibri" w:hAnsi="Calibri" w:eastAsia="Calibri"/>
          <w:i/>
          <w:color w:val="5B6573"/>
          <w:sz w:val="16"/>
        </w:rPr>
        <w:t>Источники: Росстат [S03], [S25]. Ряд относится к территории современной России; ранние точки реконструированы. Доля 2025 года округлена.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Длинный тренд — переход от сельского общества к городскому. После 1990-х численность колеблется около 143–147 млн, но рождаемость 1,222 млн против 1,819 млн смертей в 2024 году показывает дефицит воспроизводства. Поэтому стабильность общей численности не равна демографическому равновесию.</w:t>
      </w:r>
    </w:p>
    <w:p>
      <w:r>
        <w:br w:type="page"/>
      </w:r>
    </w:p>
    <w:p>
      <w:pPr>
        <w:pStyle w:val="Heading1"/>
      </w:pPr>
      <w:r>
        <w:t>Сквозной баланс 2. Энергия как системный каркас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06440" cy="3045880"/>
            <wp:docPr id="2" name="Picture 2" title="Производство электроэнергии" descr="Источники: исторические ряды [S08], [S15]; современные итоги [S32]. Ряды СССР и РФ разделены из-за территориального разрыва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2_electricity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045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Calibri" w:hAnsi="Calibri" w:eastAsia="Calibri"/>
          <w:i/>
          <w:color w:val="5B6573"/>
          <w:sz w:val="16"/>
        </w:rPr>
        <w:t>Источники: исторические ряды [S08], [S15]; современные итоги [S32]. Ряды СССР и РФ разделены из-за территориального разрыва.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ГОЭЛРО был не просто планом электростанций: он связывал размещение производительных сил, топливо, сети и индустриальные узлы. К 2025 году РФ произвела 1 183,9 млрд кВт·ч при установленной мощности 270,3 ГВт. Современный риск сместился от абсолютного дефицита мощности к надежности сетей, оборудованию и доступности мощности для новых производств.</w:t>
      </w:r>
    </w:p>
    <w:p>
      <w:r>
        <w:br w:type="page"/>
      </w:r>
    </w:p>
    <w:p>
      <w:pPr>
        <w:pStyle w:val="Heading1"/>
      </w:pPr>
      <w:r>
        <w:t>Сквозной баланс 3. Физический масштаб индустрии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06440" cy="3178380"/>
            <wp:docPr id="3" name="Picture 3" title="Индекс базовых отраслей" descr="Источники: [S07]–[S09], [S15]. Индекс 1913 = 100; логарифмическая шкала; советские пересчеты 1913 года относятся к будущим границам СССР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3_industry_index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1783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Calibri" w:hAnsi="Calibri" w:eastAsia="Calibri"/>
          <w:i/>
          <w:color w:val="5B6573"/>
          <w:sz w:val="16"/>
        </w:rPr>
        <w:t>Источники: [S07]–[S09], [S15]. Индекс 1913 = 100; логарифмическая шкала; советские пересчеты 1913 года относятся к будущим границам СССР.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К 1985 году производство электроэнергии было примерно в 796 раз выше 1913 года, нефти — примерно в 58 раз, стали — в 37 раз, угля — в 25 раз. Разница темпов показывает смену технологического ядра: от угольно-металлургической базы к нефтегазовой и электроэнергетической системе.</w:t>
      </w:r>
    </w:p>
    <w:p>
      <w:r>
        <w:br w:type="page"/>
      </w:r>
    </w:p>
    <w:p>
      <w:pPr>
        <w:pStyle w:val="Heading1"/>
      </w:pPr>
      <w:r>
        <w:t>Сквозной баланс 4. Научные кадры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06440" cy="2912471"/>
            <wp:docPr id="4" name="Picture 4" title="Научные кадры СССР и РФ" descr="Источники: [S16], [S29], [S30]. Показатели различаются по методике, поэтому панели не соединены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4_science_personnel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291247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Calibri" w:hAnsi="Calibri" w:eastAsia="Calibri"/>
          <w:i/>
          <w:color w:val="5B6573"/>
          <w:sz w:val="16"/>
        </w:rPr>
        <w:t>Источники: [S16], [S29], [S30]. Показатели различаются по методике, поэтому панели не соединены.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В СССР численность работников науки выросла более чем вдвое между 1965 и 1985 годами. В РФ персонал НИОКР сократился с 1,061 млн в 1995 году до примерно 676 тыс. в 2024 году — на 36%. При затратах 0,97% ВВП в 2024 году количественное воспроизводство исследовательского контура остается ограничением.</w:t>
      </w:r>
    </w:p>
    <w:p>
      <w:r>
        <w:br w:type="page"/>
      </w:r>
    </w:p>
    <w:p>
      <w:pPr>
        <w:pStyle w:val="Heading1"/>
      </w:pPr>
      <w:r>
        <w:t>Сквозной баланс 5. Где накапливалось напряжение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806440" cy="3483864"/>
            <wp:docPr id="5" name="Picture 5" title="Экспертная карта напряженности" descr="Экспертный синтез автора на основе числовых паспортов. Это не официальный статистический индекс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5_stress_heatmap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06440" cy="348386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160"/>
        <w:jc w:val="center"/>
      </w:pPr>
      <w:r>
        <w:rPr>
          <w:rFonts w:ascii="Calibri" w:hAnsi="Calibri" w:eastAsia="Calibri"/>
          <w:i/>
          <w:color w:val="5B6573"/>
          <w:sz w:val="16"/>
        </w:rPr>
        <w:t>Экспертный синтез автора на основе числовых паспортов. Это не официальный статистический индекс.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  <w:t>Критические эпохи совпадают с потерей согласования сразу нескольких систем. В 1914–1921 и 1992–1999 годах финансовый и институциональный разрыв усиливал производственный. В 1941–1945 годах внешняя угроза была максимальной, но централизованная мобилизация сохранила управляемость критических потоков.</w:t>
      </w:r>
    </w:p>
    <w:p>
      <w:r>
        <w:br w:type="page"/>
      </w:r>
    </w:p>
    <w:p>
      <w:pPr>
        <w:pStyle w:val="Heading1"/>
      </w:pPr>
      <w:r>
        <w:t>Как Академия наук влияла на национальные балансы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ЭКСПЕРТНЫЙ СИНТЕЗ  </w:t>
            </w:r>
            <w:r>
              <w:rPr>
                <w:rFonts w:ascii="Calibri" w:hAnsi="Calibri" w:eastAsia="Calibri"/>
                <w:color w:val="243447"/>
                <w:sz w:val="19"/>
              </w:rPr>
              <w:t>Вклад Академии корректнее измерять через снижение неопределенности, создание компетенций и скорость решения сложной задачи, а не через прямое приписывание доли ВВП.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450"/>
        <w:gridCol w:w="2450"/>
        <w:gridCol w:w="2900"/>
        <w:gridCol w:w="2560"/>
      </w:tblGrid>
      <w:tr>
        <w:trPr>
          <w:cantSplit/>
          <w:tblHeader w:val="true"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Канал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Механизм</w:t>
            </w:r>
          </w:p>
        </w:tc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Балансовый эффект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Пример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Измерение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переписи, карты, классификации, стандарты</w:t>
            </w:r>
          </w:p>
        </w:tc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уменьшение ошибки в ресурсном и территориальном планировании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КЕПС, экспедиции</w:t>
            </w:r>
          </w:p>
        </w:tc>
      </w:tr>
      <w:tr>
        <w:trPr>
          <w:cantSplit/>
        </w:trPr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Ресурсная база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геология, минералогия, почвоведение</w:t>
            </w:r>
          </w:p>
        </w:tc>
        <w:tc>
          <w:tcPr>
            <w:tcW w:type="dxa" w:w="2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открытие и оценка запасов</w:t>
            </w:r>
          </w:p>
        </w:tc>
        <w:tc>
          <w:tcPr>
            <w:tcW w:type="dxa" w:w="2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Кольский полуостров, КМА, Сибирь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Энергия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физика, энергетика, материалы</w:t>
            </w:r>
          </w:p>
        </w:tc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выбор технологии и размещения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ГОЭЛРО, атомная энергетика</w:t>
            </w:r>
          </w:p>
        </w:tc>
      </w:tr>
      <w:tr>
        <w:trPr>
          <w:cantSplit/>
        </w:trPr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Оборона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математика, физика, химия, медицина</w:t>
            </w:r>
          </w:p>
        </w:tc>
        <w:tc>
          <w:tcPr>
            <w:tcW w:type="dxa" w:w="2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сокращение цикла от задачи к внедрению</w:t>
            </w:r>
          </w:p>
        </w:tc>
        <w:tc>
          <w:tcPr>
            <w:tcW w:type="dxa" w:w="2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размагничивание, радар, атомный проект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Человеческий капитал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научные школы и аспирантура</w:t>
            </w:r>
          </w:p>
        </w:tc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воспроизводство исследователей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ФТИ, СО АН СССР</w:t>
            </w:r>
          </w:p>
        </w:tc>
      </w:tr>
      <w:tr>
        <w:trPr>
          <w:cantSplit/>
        </w:trPr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Территориальное развитие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комплексные программы</w:t>
            </w:r>
          </w:p>
        </w:tc>
        <w:tc>
          <w:tcPr>
            <w:tcW w:type="dxa" w:w="2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связка науки с ресурсным регионом</w:t>
            </w:r>
          </w:p>
        </w:tc>
        <w:tc>
          <w:tcPr>
            <w:tcW w:type="dxa" w:w="2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Сибирское отделение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Экспертиза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оценка программ и результатов</w:t>
            </w:r>
          </w:p>
        </w:tc>
        <w:tc>
          <w:tcPr>
            <w:tcW w:type="dxa" w:w="2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качество решений и фильтрация проектов</w:t>
            </w:r>
          </w:p>
        </w:tc>
        <w:tc>
          <w:tcPr>
            <w:tcW w:type="dxa" w:w="2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&gt;80 тыс. заключений в последнем отчете</w:t>
            </w:r>
          </w:p>
        </w:tc>
      </w:tr>
      <w:tr>
        <w:trPr>
          <w:cantSplit/>
        </w:trPr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Культурный капитал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языки, история, архивы, коллекции</w:t>
            </w:r>
          </w:p>
        </w:tc>
        <w:tc>
          <w:tcPr>
            <w:tcW w:type="dxa" w:w="2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сохранение идентичности и памяти</w:t>
            </w:r>
          </w:p>
        </w:tc>
        <w:tc>
          <w:tcPr>
            <w:tcW w:type="dxa" w:w="2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Пушкинский Дом, архивы</w:t>
            </w:r>
          </w:p>
        </w:tc>
      </w:tr>
    </w:tbl>
    <w:p>
      <w:pPr>
        <w:pStyle w:val="Heading2"/>
      </w:pPr>
      <w:r>
        <w:t>Восемь институциональных вех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200"/>
        <w:gridCol w:w="2500"/>
        <w:gridCol w:w="5660"/>
      </w:tblGrid>
      <w:tr>
        <w:trPr>
          <w:cantSplit/>
          <w:tblHeader w:val="true"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Год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Веха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Изменение механизма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1915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КЕПС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переход от дисциплины к народно-хозяйственной проблеме</w:t>
            </w:r>
          </w:p>
        </w:tc>
      </w:tr>
      <w:tr>
        <w:trPr>
          <w:cantSplit/>
        </w:trPr>
        <w:tc>
          <w:tcPr>
            <w:tcW w:type="dxa" w:w="12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1925</w:t>
            </w:r>
          </w:p>
        </w:tc>
        <w:tc>
          <w:tcPr>
            <w:tcW w:type="dxa" w:w="25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АН СССР</w:t>
            </w:r>
          </w:p>
        </w:tc>
        <w:tc>
          <w:tcPr>
            <w:tcW w:type="dxa" w:w="56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включение Академии в союзную систему планирования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1934–1935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Москва и отраслевые отделения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сближение с центральным управлением и индустриальными задачами</w:t>
            </w:r>
          </w:p>
        </w:tc>
      </w:tr>
      <w:tr>
        <w:trPr>
          <w:cantSplit/>
        </w:trPr>
        <w:tc>
          <w:tcPr>
            <w:tcW w:type="dxa" w:w="12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1941–1945</w:t>
            </w:r>
          </w:p>
        </w:tc>
        <w:tc>
          <w:tcPr>
            <w:tcW w:type="dxa" w:w="25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военная мобилизация науки</w:t>
            </w:r>
          </w:p>
        </w:tc>
        <w:tc>
          <w:tcPr>
            <w:tcW w:type="dxa" w:w="56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короткий цикл внедрения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1943–1946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Лаборатория № 2 и Ф-1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атомный технологический контур</w:t>
            </w:r>
          </w:p>
        </w:tc>
      </w:tr>
      <w:tr>
        <w:trPr>
          <w:cantSplit/>
        </w:trPr>
        <w:tc>
          <w:tcPr>
            <w:tcW w:type="dxa" w:w="12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1957</w:t>
            </w:r>
          </w:p>
        </w:tc>
        <w:tc>
          <w:tcPr>
            <w:tcW w:type="dxa" w:w="25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СО АН СССР</w:t>
            </w:r>
          </w:p>
        </w:tc>
        <w:tc>
          <w:tcPr>
            <w:tcW w:type="dxa" w:w="56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территориальная децентрализация научной сети</w:t>
            </w:r>
          </w:p>
        </w:tc>
      </w:tr>
      <w:tr>
        <w:trPr>
          <w:cantSplit/>
        </w:trPr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1991</w:t>
            </w:r>
          </w:p>
        </w:tc>
        <w:tc>
          <w:tcPr>
            <w:tcW w:type="dxa" w:w="2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восстановление РАН</w:t>
            </w:r>
          </w:p>
        </w:tc>
        <w:tc>
          <w:tcPr>
            <w:tcW w:type="dxa" w:w="5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правовая преемственность после распада СССР</w:t>
            </w:r>
          </w:p>
        </w:tc>
      </w:tr>
      <w:tr>
        <w:trPr>
          <w:cantSplit/>
        </w:trPr>
        <w:tc>
          <w:tcPr>
            <w:tcW w:type="dxa" w:w="12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2013–2026</w:t>
            </w:r>
          </w:p>
        </w:tc>
        <w:tc>
          <w:tcPr>
            <w:tcW w:type="dxa" w:w="25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реформа и экспертная модель</w:t>
            </w:r>
          </w:p>
        </w:tc>
        <w:tc>
          <w:tcPr>
            <w:tcW w:type="dxa" w:w="56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переход от прямого управления институтами к координации и экспертизе</w:t>
            </w:r>
          </w:p>
        </w:tc>
      </w:tr>
    </w:tbl>
    <w:p>
      <w:r>
        <w:br w:type="page"/>
      </w:r>
    </w:p>
    <w:p>
      <w:pPr>
        <w:pStyle w:val="Heading1"/>
      </w:pPr>
      <w:r>
        <w:t>Границы академического влияния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Академия не устанавливает цены, налоги и процентные ставки; поэтому она не способна самостоятельно восстановить денежный баланс.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Научное открытие не равно внедрению: нужны заказчик, опытное производство, стандарты, капитал и ответственность за серийный результат.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Академия — не вся наука страны. Университеты, отраслевые институты, КБ, заводские лаборатории и ведомственные службы имеют самостоятельный вклад.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Сильная зависимость от бюджета и кадровой политики делает Академию одновременно опорой государства и уязвимой частью длинного инвестиционного цикла.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Количественные метрики публикаций и заключений не заменяют оценки реального технологического эффекта.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7F2EB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ВЫВОД  </w:t>
            </w:r>
            <w:r>
              <w:rPr>
                <w:rFonts w:ascii="Calibri" w:hAnsi="Calibri" w:eastAsia="Calibri"/>
                <w:color w:val="243447"/>
                <w:sz w:val="19"/>
              </w:rPr>
              <w:t>Лучший результат возникал, когда Академия была встроена в контур постановки задачи и приемки эффекта, сохраняя научную автономию в выборе метода.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Проектное предложение: Академический регистр национальных балансов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8E7E7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ПРОЕКТНОЕ ПРЕДЛОЖЕНИЕ  </w:t>
            </w:r>
            <w:r>
              <w:rPr>
                <w:rFonts w:ascii="Calibri" w:hAnsi="Calibri" w:eastAsia="Calibri"/>
                <w:color w:val="243447"/>
                <w:sz w:val="19"/>
              </w:rPr>
              <w:t>Создать при участии РАН постоянный реестр запасов, потоков, нормативов и стресс-сценариев. Это не описание действующей системы.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400"/>
        <w:gridCol w:w="3150"/>
        <w:gridCol w:w="2450"/>
        <w:gridCol w:w="2360"/>
      </w:tblGrid>
      <w:tr>
        <w:trPr>
          <w:cantSplit/>
          <w:tblHeader w:val="true"/>
        </w:trPr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Слой</w:t>
            </w:r>
          </w:p>
        </w:tc>
        <w:tc>
          <w:tcPr>
            <w:tcW w:type="dxa" w:w="3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Что хранится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Контроль качества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Пользователь</w:t>
            </w:r>
          </w:p>
        </w:tc>
      </w:tr>
      <w:tr>
        <w:trPr>
          <w:cantSplit/>
        </w:trPr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Запасы</w:t>
            </w:r>
          </w:p>
        </w:tc>
        <w:tc>
          <w:tcPr>
            <w:tcW w:type="dxa" w:w="3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население, мощности, запасы сырья, основные фонды, научное оборудование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единая дата и территория оценки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Правительство, регионы, корпорации</w:t>
            </w:r>
          </w:p>
        </w:tc>
      </w:tr>
      <w:tr>
        <w:trPr>
          <w:cantSplit/>
        </w:trPr>
        <w:tc>
          <w:tcPr>
            <w:tcW w:type="dxa" w:w="14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Потоки</w:t>
            </w:r>
          </w:p>
        </w:tc>
        <w:tc>
          <w:tcPr>
            <w:tcW w:type="dxa" w:w="31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энергия, вода, продовольствие, инвестиции, кадры, импорт технологий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материальные и денежные единицы</w:t>
            </w:r>
          </w:p>
        </w:tc>
        <w:tc>
          <w:tcPr>
            <w:tcW w:type="dxa" w:w="23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отраслевые штабы</w:t>
            </w:r>
          </w:p>
        </w:tc>
      </w:tr>
      <w:tr>
        <w:trPr>
          <w:cantSplit/>
        </w:trPr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Нормативы</w:t>
            </w:r>
          </w:p>
        </w:tc>
        <w:tc>
          <w:tcPr>
            <w:tcW w:type="dxa" w:w="3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минимальная обеспеченность, резерв, срок восстановления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научная экспертиза и открытая методика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регуляторы</w:t>
            </w:r>
          </w:p>
        </w:tc>
      </w:tr>
      <w:tr>
        <w:trPr>
          <w:cantSplit/>
        </w:trPr>
        <w:tc>
          <w:tcPr>
            <w:tcW w:type="dxa" w:w="14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Сценарии</w:t>
            </w:r>
          </w:p>
        </w:tc>
        <w:tc>
          <w:tcPr>
            <w:tcW w:type="dxa" w:w="31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санкции, климат, аварии, демография, технологический разрыв</w:t>
            </w:r>
          </w:p>
        </w:tc>
        <w:tc>
          <w:tcPr>
            <w:tcW w:type="dxa" w:w="2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стресс-тест и чувствительность</w:t>
            </w:r>
          </w:p>
        </w:tc>
        <w:tc>
          <w:tcPr>
            <w:tcW w:type="dxa" w:w="23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Совет безопасности, Правительство</w:t>
            </w:r>
          </w:p>
        </w:tc>
      </w:tr>
      <w:tr>
        <w:trPr>
          <w:cantSplit/>
        </w:trPr>
        <w:tc>
          <w:tcPr>
            <w:tcW w:type="dxa" w:w="1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Решения</w:t>
            </w:r>
          </w:p>
        </w:tc>
        <w:tc>
          <w:tcPr>
            <w:tcW w:type="dxa" w:w="31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ответственный, срок, бюджет, ожидаемый эффект</w:t>
            </w:r>
          </w:p>
        </w:tc>
        <w:tc>
          <w:tcPr>
            <w:tcW w:type="dxa" w:w="2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последующая проверка результата</w:t>
            </w:r>
          </w:p>
        </w:tc>
        <w:tc>
          <w:tcPr>
            <w:tcW w:type="dxa" w:w="2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проектные офисы</w:t>
            </w:r>
          </w:p>
        </w:tc>
      </w:tr>
    </w:tbl>
    <w:p>
      <w:pPr>
        <w:pStyle w:val="Heading2"/>
      </w:pPr>
      <w:r>
        <w:t>Минимальный набор индикаторов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Демография: численность по возрасту, здоровая продолжительность жизни, миграция, обеспеченность ключевыми профессиями.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Энергия и ресурсы: располагаемая мощность, сетевые ограничения, запасы по категориям, сроки освоения и импортная зависимость оборудования.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Продовольствие и вода: выпуск, переходящие запасы, логистика, региональные дефициты, климатическая чувствительность.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Наука и технологии: исследователи по возрасту, оборудование, критические компетенции, время от результата до серии.</w:t>
      </w:r>
    </w:p>
    <w:p>
      <w:pPr>
        <w:spacing w:after="80" w:line="290" w:lineRule="auto"/>
        <w:ind w:left="540" w:hanging="279"/>
      </w:pPr>
      <w:r>
        <w:rPr>
          <w:rFonts w:ascii="Calibri" w:hAnsi="Calibri" w:eastAsia="Calibri"/>
          <w:color w:val="243447"/>
          <w:sz w:val="20"/>
        </w:rPr>
        <w:t>• Финансы: инвестиции, долгий кредит, внешний счет, бюджетная чувствительность к ценам сырья.</w:t>
      </w:r>
    </w:p>
    <w:p>
      <w:r>
        <w:br w:type="page"/>
      </w:r>
    </w:p>
    <w:p>
      <w:pPr>
        <w:pStyle w:val="Heading1"/>
      </w:pPr>
      <w:r>
        <w:t>Дорожная карта 2026–2035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450"/>
        <w:gridCol w:w="4550"/>
        <w:gridCol w:w="3360"/>
      </w:tblGrid>
      <w:tr>
        <w:trPr>
          <w:cantSplit/>
          <w:tblHeader w:val="true"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Горизонт</w:t>
            </w:r>
          </w:p>
        </w:tc>
        <w:tc>
          <w:tcPr>
            <w:tcW w:type="dxa" w:w="4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Действие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Измеримый результат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0–90 дней</w:t>
            </w:r>
          </w:p>
        </w:tc>
        <w:tc>
          <w:tcPr>
            <w:tcW w:type="dxa" w:w="4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Утвердить 40–60 ключевых балансов и паспорта данных; выбрать три пилота.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Единый каталог показателей, владельцев и разрывов качества.</w:t>
            </w:r>
          </w:p>
        </w:tc>
      </w:tr>
      <w:tr>
        <w:trPr>
          <w:cantSplit/>
        </w:trPr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3–12 месяцев</w:t>
            </w:r>
          </w:p>
        </w:tc>
        <w:tc>
          <w:tcPr>
            <w:tcW w:type="dxa" w:w="45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Пилоты: научные кадры и оборудование; электроэнергия для новых промышленных узлов; продовольственно-водный баланс.</w:t>
            </w:r>
          </w:p>
        </w:tc>
        <w:tc>
          <w:tcPr>
            <w:tcW w:type="dxa" w:w="33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Три стресс-теста и перечень решений с бюджетом и ответственными.</w:t>
            </w:r>
          </w:p>
        </w:tc>
      </w:tr>
      <w:tr>
        <w:trPr>
          <w:cantSplit/>
        </w:trPr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1–3 года</w:t>
            </w:r>
          </w:p>
        </w:tc>
        <w:tc>
          <w:tcPr>
            <w:tcW w:type="dxa" w:w="45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Интегрировать региональные и отраслевые витрины; ввести независимую академическую верификацию.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Регулярный доклад о запасах, потоках и рисках.</w:t>
            </w:r>
          </w:p>
        </w:tc>
      </w:tr>
      <w:tr>
        <w:trPr>
          <w:cantSplit/>
        </w:trPr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3–10 лет</w:t>
            </w:r>
          </w:p>
        </w:tc>
        <w:tc>
          <w:tcPr>
            <w:tcW w:type="dxa" w:w="45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Связать реестр с инвестиционным циклом, госпрограммами и технологическими проектами.</w:t>
            </w:r>
          </w:p>
        </w:tc>
        <w:tc>
          <w:tcPr>
            <w:tcW w:type="dxa" w:w="33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7"/>
              </w:rPr>
              <w:t>Снижение времени реакции и доли проектов без обеспечивающего ресурса.</w:t>
            </w:r>
          </w:p>
        </w:tc>
      </w:tr>
    </w:tbl>
    <w:p>
      <w:pPr>
        <w:pStyle w:val="Heading2"/>
      </w:pPr>
      <w:r>
        <w:t>Три первых пилота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ПИЛОТ 1  </w:t>
            </w:r>
            <w:r>
              <w:rPr>
                <w:rFonts w:ascii="Calibri" w:hAnsi="Calibri" w:eastAsia="Calibri"/>
                <w:color w:val="243447"/>
                <w:sz w:val="19"/>
              </w:rPr>
              <w:t>Баланс научных кадров: возрастная структура, критические школы, оборудование и заказ на 10 лет.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7F2EB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ПИЛОТ 2  </w:t>
            </w:r>
            <w:r>
              <w:rPr>
                <w:rFonts w:ascii="Calibri" w:hAnsi="Calibri" w:eastAsia="Calibri"/>
                <w:color w:val="243447"/>
                <w:sz w:val="19"/>
              </w:rPr>
              <w:t>Энергетический баланс индустриализации: доступная мощность, сеть, газ, генерация и сроки подключения.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  <w:tblInd w:w="120" w:type="dxa"/>
      </w:tblPr>
      <w:tblGrid>
        <w:gridCol w:w="9360"/>
      </w:tblGrid>
      <w:tr>
        <w:trPr>
          <w:cantSplit/>
          <w:tblHeader w:val="true"/>
        </w:trPr>
        <w:tc>
          <w:tcPr>
            <w:tcW w:type="dxa" w:w="9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7F1D9"/>
          </w:tcPr>
          <w:p>
            <w:pPr>
              <w:spacing w:after="40"/>
              <w:jc w:val="left"/>
            </w:pPr>
            <w:r>
              <w:rPr>
                <w:rFonts w:ascii="Calibri" w:hAnsi="Calibri" w:eastAsia="Calibri"/>
                <w:b/>
                <w:color w:val="2E74B5"/>
                <w:sz w:val="17"/>
              </w:rPr>
              <w:t xml:space="preserve">ПИЛОТ 3  </w:t>
            </w:r>
            <w:r>
              <w:rPr>
                <w:rFonts w:ascii="Calibri" w:hAnsi="Calibri" w:eastAsia="Calibri"/>
                <w:color w:val="243447"/>
                <w:sz w:val="19"/>
              </w:rPr>
              <w:t>Продовольственно-водный баланс регионов: климатические риски, логистика, резервы и экспортные обязательства.</w:t>
            </w:r>
          </w:p>
        </w:tc>
      </w:tr>
    </w:tbl>
    <w:p>
      <w:pPr>
        <w:keepNext w:val="0"/>
        <w:spacing w:before="0" w:after="40" w:line="320" w:lineRule="auto"/>
      </w:pPr>
      <w:r>
        <w:rPr>
          <w:rFonts w:ascii="Calibri" w:hAnsi="Calibri" w:eastAsia="Calibri"/>
          <w:b w:val="0"/>
          <w:i w:val="0"/>
          <w:color w:val="243447"/>
          <w:sz w:val="22"/>
        </w:rPr>
      </w:r>
    </w:p>
    <w:p>
      <w:r>
        <w:br w:type="page"/>
      </w:r>
    </w:p>
    <w:p>
      <w:pPr>
        <w:pStyle w:val="Heading1"/>
      </w:pPr>
      <w:r>
        <w:t>Приложение 1. Контрольные точки населения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50"/>
        <w:gridCol w:w="1300"/>
        <w:gridCol w:w="1300"/>
        <w:gridCol w:w="1450"/>
        <w:gridCol w:w="4360"/>
      </w:tblGrid>
      <w:tr>
        <w:trPr>
          <w:cantSplit/>
          <w:tblHeader w:val="true"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Год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Всего, млн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Город, млн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Городская доля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Примечание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1897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67,5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9,9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≈15%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территория современной РФ; наличное население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1914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89,9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15,7</w:t>
            </w:r>
          </w:p>
        </w:tc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17%</w:t>
            </w:r>
          </w:p>
        </w:tc>
        <w:tc>
          <w:tcPr>
            <w:tcW w:type="dxa" w:w="43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оценка в современных границах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1917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91,0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15,5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17%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оценка в современных границах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1926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92,7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16,4</w:t>
            </w:r>
          </w:p>
        </w:tc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18%</w:t>
            </w:r>
          </w:p>
        </w:tc>
        <w:tc>
          <w:tcPr>
            <w:tcW w:type="dxa" w:w="43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перепись; наличное население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1939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108,4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36,3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33%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перепись; наличное население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1959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117,2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61,1</w:t>
            </w:r>
          </w:p>
        </w:tc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52%</w:t>
            </w:r>
          </w:p>
        </w:tc>
        <w:tc>
          <w:tcPr>
            <w:tcW w:type="dxa" w:w="43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перепись; постоянное население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1970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129,9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80,6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62%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перепись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1979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137,4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94,9</w:t>
            </w:r>
          </w:p>
        </w:tc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69%</w:t>
            </w:r>
          </w:p>
        </w:tc>
        <w:tc>
          <w:tcPr>
            <w:tcW w:type="dxa" w:w="43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перепись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1989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147,0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107,9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73%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перепись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2002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145,2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106,4</w:t>
            </w:r>
          </w:p>
        </w:tc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73%</w:t>
            </w:r>
          </w:p>
        </w:tc>
        <w:tc>
          <w:tcPr>
            <w:tcW w:type="dxa" w:w="43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перепись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2010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142,9</w:t>
            </w:r>
          </w:p>
        </w:tc>
        <w:tc>
          <w:tcPr>
            <w:tcW w:type="dxa" w:w="13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105,3</w:t>
            </w:r>
          </w:p>
        </w:tc>
        <w:tc>
          <w:tcPr>
            <w:tcW w:type="dxa" w:w="14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74%</w:t>
            </w:r>
          </w:p>
        </w:tc>
        <w:tc>
          <w:tcPr>
            <w:tcW w:type="dxa" w:w="4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перепись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2025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146,03</w:t>
            </w:r>
          </w:p>
        </w:tc>
        <w:tc>
          <w:tcPr>
            <w:tcW w:type="dxa" w:w="13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—</w:t>
            </w:r>
          </w:p>
        </w:tc>
        <w:tc>
          <w:tcPr>
            <w:tcW w:type="dxa" w:w="14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около 75%</w:t>
            </w:r>
          </w:p>
        </w:tc>
        <w:tc>
          <w:tcPr>
            <w:tcW w:type="dxa" w:w="43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текущая оценка; Крым и Севастополь учтены по методике Росстата</w:t>
            </w:r>
          </w:p>
        </w:tc>
      </w:tr>
    </w:tbl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Источник: [S03], [S25]. Значения округлены; до 1959 года меняется тип учета населения.</w:t>
      </w:r>
    </w:p>
    <w:p>
      <w:r>
        <w:br w:type="page"/>
      </w:r>
    </w:p>
    <w:p>
      <w:pPr>
        <w:pStyle w:val="Heading1"/>
      </w:pPr>
      <w:r>
        <w:t>Приложение 2. Электроэнергия и базовая индустрия СССР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50"/>
        <w:gridCol w:w="2600"/>
        <w:gridCol w:w="1900"/>
        <w:gridCol w:w="1900"/>
        <w:gridCol w:w="2010"/>
      </w:tblGrid>
      <w:tr>
        <w:trPr>
          <w:cantSplit/>
          <w:tblHeader w:val="true"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Год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Электроэнергия, млрд кВт·ч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Уголь, млн т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Нефть, млн т</w:t>
            </w:r>
          </w:p>
        </w:tc>
        <w:tc>
          <w:tcPr>
            <w:tcW w:type="dxa" w:w="20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Сталь, млн т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1913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1,94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29,2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10,3</w:t>
            </w:r>
          </w:p>
        </w:tc>
        <w:tc>
          <w:tcPr>
            <w:tcW w:type="dxa" w:w="20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4,2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1928</w:t>
            </w:r>
          </w:p>
        </w:tc>
        <w:tc>
          <w:tcPr>
            <w:tcW w:type="dxa" w:w="26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5,0</w:t>
            </w:r>
          </w:p>
        </w:tc>
        <w:tc>
          <w:tcPr>
            <w:tcW w:type="dxa" w:w="1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35,5</w:t>
            </w:r>
          </w:p>
        </w:tc>
        <w:tc>
          <w:tcPr>
            <w:tcW w:type="dxa" w:w="1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11,6</w:t>
            </w:r>
          </w:p>
        </w:tc>
        <w:tc>
          <w:tcPr>
            <w:tcW w:type="dxa" w:w="201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4,3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1932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13,5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64,4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21,4</w:t>
            </w:r>
          </w:p>
        </w:tc>
        <w:tc>
          <w:tcPr>
            <w:tcW w:type="dxa" w:w="20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5,9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1937</w:t>
            </w:r>
          </w:p>
        </w:tc>
        <w:tc>
          <w:tcPr>
            <w:tcW w:type="dxa" w:w="26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36,2</w:t>
            </w:r>
          </w:p>
        </w:tc>
        <w:tc>
          <w:tcPr>
            <w:tcW w:type="dxa" w:w="1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128</w:t>
            </w:r>
          </w:p>
        </w:tc>
        <w:tc>
          <w:tcPr>
            <w:tcW w:type="dxa" w:w="1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28,5</w:t>
            </w:r>
          </w:p>
        </w:tc>
        <w:tc>
          <w:tcPr>
            <w:tcW w:type="dxa" w:w="201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17,7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1940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48,3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166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31,1</w:t>
            </w:r>
          </w:p>
        </w:tc>
        <w:tc>
          <w:tcPr>
            <w:tcW w:type="dxa" w:w="20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18,3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1945</w:t>
            </w:r>
          </w:p>
        </w:tc>
        <w:tc>
          <w:tcPr>
            <w:tcW w:type="dxa" w:w="26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43,3</w:t>
            </w:r>
          </w:p>
        </w:tc>
        <w:tc>
          <w:tcPr>
            <w:tcW w:type="dxa" w:w="1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≈149</w:t>
            </w:r>
          </w:p>
        </w:tc>
        <w:tc>
          <w:tcPr>
            <w:tcW w:type="dxa" w:w="1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19,4</w:t>
            </w:r>
          </w:p>
        </w:tc>
        <w:tc>
          <w:tcPr>
            <w:tcW w:type="dxa" w:w="201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12,3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1950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91,2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≈261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37,9</w:t>
            </w:r>
          </w:p>
        </w:tc>
        <w:tc>
          <w:tcPr>
            <w:tcW w:type="dxa" w:w="20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27,3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1965</w:t>
            </w:r>
          </w:p>
        </w:tc>
        <w:tc>
          <w:tcPr>
            <w:tcW w:type="dxa" w:w="26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507</w:t>
            </w:r>
          </w:p>
        </w:tc>
        <w:tc>
          <w:tcPr>
            <w:tcW w:type="dxa" w:w="1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578</w:t>
            </w:r>
          </w:p>
        </w:tc>
        <w:tc>
          <w:tcPr>
            <w:tcW w:type="dxa" w:w="1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243</w:t>
            </w:r>
          </w:p>
        </w:tc>
        <w:tc>
          <w:tcPr>
            <w:tcW w:type="dxa" w:w="201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91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1975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1 039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≈701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≈491</w:t>
            </w:r>
          </w:p>
        </w:tc>
        <w:tc>
          <w:tcPr>
            <w:tcW w:type="dxa" w:w="20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≈141</w:t>
            </w:r>
          </w:p>
        </w:tc>
      </w:tr>
      <w:tr>
        <w:trPr>
          <w:cantSplit/>
        </w:trPr>
        <w:tc>
          <w:tcPr>
            <w:tcW w:type="dxa" w:w="95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1985</w:t>
            </w:r>
          </w:p>
        </w:tc>
        <w:tc>
          <w:tcPr>
            <w:tcW w:type="dxa" w:w="26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1 544</w:t>
            </w:r>
          </w:p>
        </w:tc>
        <w:tc>
          <w:tcPr>
            <w:tcW w:type="dxa" w:w="1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≈726</w:t>
            </w:r>
          </w:p>
        </w:tc>
        <w:tc>
          <w:tcPr>
            <w:tcW w:type="dxa" w:w="19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≈595</w:t>
            </w:r>
          </w:p>
        </w:tc>
        <w:tc>
          <w:tcPr>
            <w:tcW w:type="dxa" w:w="201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≈155</w:t>
            </w:r>
          </w:p>
        </w:tc>
      </w:tr>
      <w:tr>
        <w:trPr>
          <w:cantSplit/>
        </w:trPr>
        <w:tc>
          <w:tcPr>
            <w:tcW w:type="dxa" w:w="9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1988</w:t>
            </w:r>
          </w:p>
        </w:tc>
        <w:tc>
          <w:tcPr>
            <w:tcW w:type="dxa" w:w="2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1 705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≈772</w:t>
            </w:r>
          </w:p>
        </w:tc>
        <w:tc>
          <w:tcPr>
            <w:tcW w:type="dxa" w:w="1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624</w:t>
            </w:r>
          </w:p>
        </w:tc>
        <w:tc>
          <w:tcPr>
            <w:tcW w:type="dxa" w:w="201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≈163</w:t>
            </w:r>
          </w:p>
        </w:tc>
      </w:tr>
    </w:tbl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Источники: [S07]–[S09], [S15]. Знак ≈ означает округление или сведение близких официальных рядов. Точка 1913 обычно пересчитана в будущих границах СССР.</w:t>
      </w:r>
    </w:p>
    <w:p>
      <w:r>
        <w:br w:type="page"/>
      </w:r>
    </w:p>
    <w:p>
      <w:pPr>
        <w:pStyle w:val="Heading1"/>
      </w:pPr>
      <w:r>
        <w:t>Приложение 3. Научные кадры и институциональные точки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000"/>
        <w:gridCol w:w="2800"/>
        <w:gridCol w:w="2000"/>
        <w:gridCol w:w="3560"/>
      </w:tblGrid>
      <w:tr>
        <w:trPr>
          <w:cantSplit/>
          <w:tblHeader w:val="true"/>
        </w:trPr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Год</w:t>
            </w:r>
          </w:p>
        </w:tc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Показатель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Значение</w:t>
            </w:r>
          </w:p>
        </w:tc>
        <w:tc>
          <w:tcPr>
            <w:tcW w:type="dxa" w:w="3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F4F6F9"/>
          </w:tcPr>
          <w:p>
            <w:pPr>
              <w:spacing w:after="0"/>
            </w:pPr>
            <w:r>
              <w:rPr>
                <w:rFonts w:ascii="Calibri" w:hAnsi="Calibri" w:eastAsia="Calibri"/>
                <w:b/>
                <w:color w:val="17365D"/>
                <w:sz w:val="16"/>
              </w:rPr>
              <w:t>Охват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1965</w:t>
            </w:r>
          </w:p>
        </w:tc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работники науки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664,6 тыс.</w:t>
            </w:r>
          </w:p>
        </w:tc>
        <w:tc>
          <w:tcPr>
            <w:tcW w:type="dxa" w:w="3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</w:t>
            </w:r>
          </w:p>
        </w:tc>
      </w:tr>
      <w:tr>
        <w:trPr>
          <w:cantSplit/>
        </w:trPr>
        <w:tc>
          <w:tcPr>
            <w:tcW w:type="dxa" w:w="10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1970</w:t>
            </w:r>
          </w:p>
        </w:tc>
        <w:tc>
          <w:tcPr>
            <w:tcW w:type="dxa" w:w="28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работники науки</w:t>
            </w:r>
          </w:p>
        </w:tc>
        <w:tc>
          <w:tcPr>
            <w:tcW w:type="dxa" w:w="20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927,7 тыс.</w:t>
            </w:r>
          </w:p>
        </w:tc>
        <w:tc>
          <w:tcPr>
            <w:tcW w:type="dxa" w:w="3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1975</w:t>
            </w:r>
          </w:p>
        </w:tc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работники науки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1 223,4 тыс.</w:t>
            </w:r>
          </w:p>
        </w:tc>
        <w:tc>
          <w:tcPr>
            <w:tcW w:type="dxa" w:w="3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</w:t>
            </w:r>
          </w:p>
        </w:tc>
      </w:tr>
      <w:tr>
        <w:trPr>
          <w:cantSplit/>
        </w:trPr>
        <w:tc>
          <w:tcPr>
            <w:tcW w:type="dxa" w:w="10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1985</w:t>
            </w:r>
          </w:p>
        </w:tc>
        <w:tc>
          <w:tcPr>
            <w:tcW w:type="dxa" w:w="28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работники науки</w:t>
            </w:r>
          </w:p>
        </w:tc>
        <w:tc>
          <w:tcPr>
            <w:tcW w:type="dxa" w:w="20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≈1 491 тыс.</w:t>
            </w:r>
          </w:p>
        </w:tc>
        <w:tc>
          <w:tcPr>
            <w:tcW w:type="dxa" w:w="3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СССР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1995</w:t>
            </w:r>
          </w:p>
        </w:tc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персонал НИОКР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1 061 тыс.</w:t>
            </w:r>
          </w:p>
        </w:tc>
        <w:tc>
          <w:tcPr>
            <w:tcW w:type="dxa" w:w="3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РФ</w:t>
            </w:r>
          </w:p>
        </w:tc>
      </w:tr>
      <w:tr>
        <w:trPr>
          <w:cantSplit/>
        </w:trPr>
        <w:tc>
          <w:tcPr>
            <w:tcW w:type="dxa" w:w="10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2000</w:t>
            </w:r>
          </w:p>
        </w:tc>
        <w:tc>
          <w:tcPr>
            <w:tcW w:type="dxa" w:w="28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персонал НИОКР</w:t>
            </w:r>
          </w:p>
        </w:tc>
        <w:tc>
          <w:tcPr>
            <w:tcW w:type="dxa" w:w="20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≈888 тыс.</w:t>
            </w:r>
          </w:p>
        </w:tc>
        <w:tc>
          <w:tcPr>
            <w:tcW w:type="dxa" w:w="3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РФ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2010</w:t>
            </w:r>
          </w:p>
        </w:tc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персонал НИОКР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≈737 тыс.</w:t>
            </w:r>
          </w:p>
        </w:tc>
        <w:tc>
          <w:tcPr>
            <w:tcW w:type="dxa" w:w="3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РФ</w:t>
            </w:r>
          </w:p>
        </w:tc>
      </w:tr>
      <w:tr>
        <w:trPr>
          <w:cantSplit/>
        </w:trPr>
        <w:tc>
          <w:tcPr>
            <w:tcW w:type="dxa" w:w="10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2024</w:t>
            </w:r>
          </w:p>
        </w:tc>
        <w:tc>
          <w:tcPr>
            <w:tcW w:type="dxa" w:w="28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персонал НИОКР</w:t>
            </w:r>
          </w:p>
        </w:tc>
        <w:tc>
          <w:tcPr>
            <w:tcW w:type="dxa" w:w="20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≈676 тыс.</w:t>
            </w:r>
          </w:p>
        </w:tc>
        <w:tc>
          <w:tcPr>
            <w:tcW w:type="dxa" w:w="3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РФ</w:t>
            </w:r>
          </w:p>
        </w:tc>
      </w:tr>
      <w:tr>
        <w:trPr>
          <w:cantSplit/>
        </w:trPr>
        <w:tc>
          <w:tcPr>
            <w:tcW w:type="dxa" w:w="1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2024</w:t>
            </w:r>
          </w:p>
        </w:tc>
        <w:tc>
          <w:tcPr>
            <w:tcW w:type="dxa" w:w="2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затраты на НИОКР</w:t>
            </w:r>
          </w:p>
        </w:tc>
        <w:tc>
          <w:tcPr>
            <w:tcW w:type="dxa" w:w="2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0,97% ВВП</w:t>
            </w:r>
          </w:p>
        </w:tc>
        <w:tc>
          <w:tcPr>
            <w:tcW w:type="dxa" w:w="35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РФ</w:t>
            </w:r>
          </w:p>
        </w:tc>
      </w:tr>
      <w:tr>
        <w:trPr>
          <w:cantSplit/>
        </w:trPr>
        <w:tc>
          <w:tcPr>
            <w:tcW w:type="dxa" w:w="10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последний отчет</w:t>
            </w:r>
          </w:p>
        </w:tc>
        <w:tc>
          <w:tcPr>
            <w:tcW w:type="dxa" w:w="28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экспертные заключения РАН</w:t>
            </w:r>
          </w:p>
        </w:tc>
        <w:tc>
          <w:tcPr>
            <w:tcW w:type="dxa" w:w="200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&gt;80 тыс.</w:t>
            </w:r>
          </w:p>
        </w:tc>
        <w:tc>
          <w:tcPr>
            <w:tcW w:type="dxa" w:w="3560"/>
            <w:shd w:fill="FAFBFC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spacing w:after="0" w:line="259" w:lineRule="auto"/>
            </w:pPr>
            <w:r>
              <w:rPr>
                <w:rFonts w:ascii="Calibri" w:hAnsi="Calibri" w:eastAsia="Calibri"/>
                <w:color w:val="243447"/>
                <w:sz w:val="16"/>
              </w:rPr>
              <w:t>для &gt;1 000 организаций</w:t>
            </w:r>
          </w:p>
        </w:tc>
      </w:tr>
    </w:tbl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/>
          <w:color w:val="5B6573"/>
          <w:sz w:val="17"/>
        </w:rPr>
        <w:t>Источники: [S16], [S29]–[S31], [S35]. Советский и российский показатели не являются полностью идентичными.</w:t>
      </w:r>
    </w:p>
    <w:p>
      <w:r>
        <w:br w:type="page"/>
      </w:r>
    </w:p>
    <w:p>
      <w:pPr>
        <w:pStyle w:val="Heading1"/>
      </w:pPr>
      <w:r>
        <w:t>Приложение 4. Источники</w:t>
      </w:r>
    </w:p>
    <w:p>
      <w:pPr>
        <w:keepNext w:val="0"/>
        <w:spacing w:before="0" w:after="160" w:line="320" w:lineRule="auto"/>
      </w:pPr>
      <w:r>
        <w:rPr>
          <w:rFonts w:ascii="Calibri" w:hAnsi="Calibri" w:eastAsia="Calibri"/>
          <w:b w:val="0"/>
          <w:i/>
          <w:color w:val="5B6573"/>
          <w:sz w:val="18"/>
        </w:rPr>
        <w:t>Приоритет отдан официальной статистике, первичным историческим сборникам и материалам государственных научных организаций. Ссылки проверены на дату подготовки.</w:t>
      </w:r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[S01] </w:t>
      </w:r>
      <w:hyperlink r:id="rId16">
        <w:r>
          <w:rPr>
            <w:color w:val="2E74B5"/>
            <w:u w:val="single"/>
            <w:rFonts w:ascii="Calibri" w:hAnsi="Calibri" w:eastAsia="Calibri"/>
          </w:rPr>
          <w:t>Первая всеобщая перепись Российской империи: оригинальный свод ЦСК МВД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[S02] </w:t>
      </w:r>
      <w:hyperlink r:id="rId17">
        <w:r>
          <w:rPr>
            <w:color w:val="2E74B5"/>
            <w:u w:val="single"/>
            <w:rFonts w:ascii="Calibri" w:hAnsi="Calibri" w:eastAsia="Calibri"/>
          </w:rPr>
          <w:t>Президентская библиотека: первая перепись 1897 года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[S03] </w:t>
      </w:r>
      <w:hyperlink r:id="rId18">
        <w:r>
          <w:rPr>
            <w:color w:val="2E74B5"/>
            <w:u w:val="single"/>
            <w:rFonts w:ascii="Calibri" w:hAnsi="Calibri" w:eastAsia="Calibri"/>
          </w:rPr>
          <w:t>Росстат: историческая численность и доля городского населения на территории современной России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[S04] </w:t>
      </w:r>
      <w:hyperlink r:id="rId19">
        <w:r>
          <w:rPr>
            <w:color w:val="2E74B5"/>
            <w:u w:val="single"/>
            <w:rFonts w:ascii="Calibri" w:hAnsi="Calibri" w:eastAsia="Calibri"/>
          </w:rPr>
          <w:t>Росстат: история переписей, грамотность и инфраструктура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[S05] </w:t>
      </w:r>
      <w:hyperlink r:id="rId20">
        <w:r>
          <w:rPr>
            <w:color w:val="2E74B5"/>
            <w:u w:val="single"/>
            <w:rFonts w:ascii="Calibri" w:hAnsi="Calibri" w:eastAsia="Calibri"/>
          </w:rPr>
          <w:t>Банк России: история денежной системы и Государственного банка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[S06] </w:t>
      </w:r>
      <w:hyperlink r:id="rId21">
        <w:r>
          <w:rPr>
            <w:color w:val="2E74B5"/>
            <w:u w:val="single"/>
            <w:rFonts w:ascii="Calibri" w:hAnsi="Calibri" w:eastAsia="Calibri"/>
          </w:rPr>
          <w:t>Вестник Банка России: баланс Госбанка и золото на 1 января 1914 года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[S07] </w:t>
      </w:r>
      <w:hyperlink r:id="rId22">
        <w:r>
          <w:rPr>
            <w:color w:val="2E74B5"/>
            <w:u w:val="single"/>
            <w:rFonts w:ascii="Calibri" w:hAnsi="Calibri" w:eastAsia="Calibri"/>
          </w:rPr>
          <w:t>МГУ: база данных по промышленности России и СССР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[S08] </w:t>
      </w:r>
      <w:hyperlink r:id="rId23">
        <w:r>
          <w:rPr>
            <w:color w:val="2E74B5"/>
            <w:u w:val="single"/>
            <w:rFonts w:ascii="Calibri" w:hAnsi="Calibri" w:eastAsia="Calibri"/>
          </w:rPr>
          <w:t>Истмат: производство электроэнергии СССР, 1913–1950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[S09] </w:t>
      </w:r>
      <w:hyperlink r:id="rId24">
        <w:r>
          <w:rPr>
            <w:color w:val="2E74B5"/>
            <w:u w:val="single"/>
            <w:rFonts w:ascii="Calibri" w:hAnsi="Calibri" w:eastAsia="Calibri"/>
          </w:rPr>
          <w:t>Народное хозяйство СССР: промышленность, исторические ряды до 1955 года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[S10] </w:t>
      </w:r>
      <w:hyperlink r:id="rId25">
        <w:r>
          <w:rPr>
            <w:color w:val="2E74B5"/>
            <w:u w:val="single"/>
            <w:rFonts w:ascii="Calibri" w:hAnsi="Calibri" w:eastAsia="Calibri"/>
          </w:rPr>
          <w:t>Минэнерго России: история плана ГОЭЛРО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[S11] </w:t>
      </w:r>
      <w:hyperlink r:id="rId26">
        <w:r>
          <w:rPr>
            <w:color w:val="2E74B5"/>
            <w:u w:val="single"/>
            <w:rFonts w:ascii="Calibri" w:hAnsi="Calibri" w:eastAsia="Calibri"/>
          </w:rPr>
          <w:t>Президентская библиотека: создание КЕПС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[S12] </w:t>
      </w:r>
      <w:hyperlink r:id="rId27">
        <w:r>
          <w:rPr>
            <w:color w:val="2E74B5"/>
            <w:u w:val="single"/>
            <w:rFonts w:ascii="Calibri" w:hAnsi="Calibri" w:eastAsia="Calibri"/>
          </w:rPr>
          <w:t>РАН: КЕПС, Совет по изучению производительных сил и созданные институты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[S13] </w:t>
      </w:r>
      <w:hyperlink r:id="rId28">
        <w:r>
          <w:rPr>
            <w:color w:val="2E74B5"/>
            <w:u w:val="single"/>
            <w:rFonts w:ascii="Calibri" w:hAnsi="Calibri" w:eastAsia="Calibri"/>
          </w:rPr>
          <w:t>РАН: Великая Отечественная война в истории ФТИ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[S14] </w:t>
      </w:r>
      <w:hyperlink r:id="rId29">
        <w:r>
          <w:rPr>
            <w:color w:val="2E74B5"/>
            <w:u w:val="single"/>
            <w:rFonts w:ascii="Calibri" w:hAnsi="Calibri" w:eastAsia="Calibri"/>
          </w:rPr>
          <w:t>Росстат: «Цифры Победы»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[S15] </w:t>
      </w:r>
      <w:hyperlink r:id="rId30">
        <w:r>
          <w:rPr>
            <w:color w:val="2E74B5"/>
            <w:u w:val="single"/>
            <w:rFonts w:ascii="Calibri" w:hAnsi="Calibri" w:eastAsia="Calibri"/>
          </w:rPr>
          <w:t>Народное хозяйство СССР в 1987 году: официальный статистический ежегодник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[S16] </w:t>
      </w:r>
      <w:hyperlink r:id="rId31">
        <w:r>
          <w:rPr>
            <w:color w:val="2E74B5"/>
            <w:u w:val="single"/>
            <w:rFonts w:ascii="Calibri" w:hAnsi="Calibri" w:eastAsia="Calibri"/>
          </w:rPr>
          <w:t>Истмат: численность работников науки СССР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[S17] </w:t>
      </w:r>
      <w:hyperlink r:id="rId32">
        <w:r>
          <w:rPr>
            <w:color w:val="2E74B5"/>
            <w:u w:val="single"/>
            <w:rFonts w:ascii="Calibri" w:hAnsi="Calibri" w:eastAsia="Calibri"/>
          </w:rPr>
          <w:t>Сибирское отделение РАН: история создания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[S18] </w:t>
      </w:r>
      <w:hyperlink r:id="rId33">
        <w:r>
          <w:rPr>
            <w:color w:val="2E74B5"/>
            <w:u w:val="single"/>
            <w:rFonts w:ascii="Calibri" w:hAnsi="Calibri" w:eastAsia="Calibri"/>
          </w:rPr>
          <w:t>НИЦ «Курчатовский институт»: история Лаборатории № 2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[S19] </w:t>
      </w:r>
      <w:hyperlink r:id="rId34">
        <w:r>
          <w:rPr>
            <w:color w:val="2E74B5"/>
            <w:u w:val="single"/>
            <w:rFonts w:ascii="Calibri" w:hAnsi="Calibri" w:eastAsia="Calibri"/>
          </w:rPr>
          <w:t>Роскосмос: ключевые даты отечественной космонавтики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[S20] </w:t>
      </w:r>
      <w:hyperlink r:id="rId35">
        <w:r>
          <w:rPr>
            <w:color w:val="2E74B5"/>
            <w:u w:val="single"/>
            <w:rFonts w:ascii="Calibri" w:hAnsi="Calibri" w:eastAsia="Calibri"/>
          </w:rPr>
          <w:t>РАН: 300 лет истории, институциональные изменения Академии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[S21] </w:t>
      </w:r>
      <w:hyperlink r:id="rId36">
        <w:r>
          <w:rPr>
            <w:color w:val="2E74B5"/>
            <w:u w:val="single"/>
            <w:rFonts w:ascii="Calibri" w:hAnsi="Calibri" w:eastAsia="Calibri"/>
          </w:rPr>
          <w:t>РАН: устав и общие положения; восстановление РАН в 1991 году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[S22] </w:t>
      </w:r>
      <w:hyperlink r:id="rId37">
        <w:r>
          <w:rPr>
            <w:color w:val="2E74B5"/>
            <w:u w:val="single"/>
            <w:rFonts w:ascii="Calibri" w:hAnsi="Calibri" w:eastAsia="Calibri"/>
          </w:rPr>
          <w:t>Федеральный закон № 253-ФЗ от 27.09.2013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[S23] </w:t>
      </w:r>
      <w:hyperlink r:id="rId38">
        <w:r>
          <w:rPr>
            <w:color w:val="2E74B5"/>
            <w:u w:val="single"/>
            <w:rFonts w:ascii="Calibri" w:hAnsi="Calibri" w:eastAsia="Calibri"/>
          </w:rPr>
          <w:t>Росстат: национальные счета и динамика ВВП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[S24] </w:t>
      </w:r>
      <w:hyperlink r:id="rId39">
        <w:r>
          <w:rPr>
            <w:color w:val="2E74B5"/>
            <w:u w:val="single"/>
            <w:rFonts w:ascii="Calibri" w:hAnsi="Calibri" w:eastAsia="Calibri"/>
          </w:rPr>
          <w:t>Росстат: цены и инфляция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[S25] </w:t>
      </w:r>
      <w:hyperlink r:id="rId40">
        <w:r>
          <w:rPr>
            <w:color w:val="2E74B5"/>
            <w:u w:val="single"/>
            <w:rFonts w:ascii="Calibri" w:hAnsi="Calibri" w:eastAsia="Calibri"/>
          </w:rPr>
          <w:t>Росстат: демография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[S26] </w:t>
      </w:r>
      <w:hyperlink r:id="rId41">
        <w:r>
          <w:rPr>
            <w:color w:val="2E74B5"/>
            <w:u w:val="single"/>
            <w:rFonts w:ascii="Calibri" w:hAnsi="Calibri" w:eastAsia="Calibri"/>
          </w:rPr>
          <w:t>Росстат: естественное движение населения за 2024 год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[S27] </w:t>
      </w:r>
      <w:hyperlink r:id="rId42">
        <w:r>
          <w:rPr>
            <w:color w:val="2E74B5"/>
            <w:u w:val="single"/>
            <w:rFonts w:ascii="Calibri" w:hAnsi="Calibri" w:eastAsia="Calibri"/>
          </w:rPr>
          <w:t>Росстат: исторические показатели бедности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[S28] </w:t>
      </w:r>
      <w:hyperlink r:id="rId43">
        <w:r>
          <w:rPr>
            <w:color w:val="2E74B5"/>
            <w:u w:val="single"/>
            <w:rFonts w:ascii="Calibri" w:hAnsi="Calibri" w:eastAsia="Calibri"/>
          </w:rPr>
          <w:t>Росстат: предварительная оценка бедности за 2025 год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[S29] </w:t>
      </w:r>
      <w:hyperlink r:id="rId44">
        <w:r>
          <w:rPr>
            <w:color w:val="2E74B5"/>
            <w:u w:val="single"/>
            <w:rFonts w:ascii="Calibri" w:hAnsi="Calibri" w:eastAsia="Calibri"/>
          </w:rPr>
          <w:t>Росстат: наука, инновации и технологии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[S30] </w:t>
      </w:r>
      <w:hyperlink r:id="rId45">
        <w:r>
          <w:rPr>
            <w:color w:val="2E74B5"/>
            <w:u w:val="single"/>
            <w:rFonts w:ascii="Calibri" w:hAnsi="Calibri" w:eastAsia="Calibri"/>
          </w:rPr>
          <w:t>Росстат: исторический ряд персонала, занятого исследованиями и разработками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[S31] </w:t>
      </w:r>
      <w:hyperlink r:id="rId46">
        <w:r>
          <w:rPr>
            <w:color w:val="2E74B5"/>
            <w:u w:val="single"/>
            <w:rFonts w:ascii="Calibri" w:hAnsi="Calibri" w:eastAsia="Calibri"/>
          </w:rPr>
          <w:t>ИСИЭЗ НИУ ВШЭ: затраты на исследования и разработки в 2024 году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[S32] </w:t>
      </w:r>
      <w:hyperlink r:id="rId47">
        <w:r>
          <w:rPr>
            <w:color w:val="2E74B5"/>
            <w:u w:val="single"/>
            <w:rFonts w:ascii="Calibri" w:hAnsi="Calibri" w:eastAsia="Calibri"/>
          </w:rPr>
          <w:t>Минэнерго России: итоги деятельности ТЭК за 2025 год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[S33] </w:t>
      </w:r>
      <w:hyperlink r:id="rId48">
        <w:r>
          <w:rPr>
            <w:color w:val="2E74B5"/>
            <w:u w:val="single"/>
            <w:rFonts w:ascii="Calibri" w:hAnsi="Calibri" w:eastAsia="Calibri"/>
          </w:rPr>
          <w:t>Банк России: международные резервы Российской Федерации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[S34] </w:t>
      </w:r>
      <w:hyperlink r:id="rId49">
        <w:r>
          <w:rPr>
            <w:color w:val="2E74B5"/>
            <w:u w:val="single"/>
            <w:rFonts w:ascii="Calibri" w:hAnsi="Calibri" w:eastAsia="Calibri"/>
          </w:rPr>
          <w:t>Банк России: платежный баланс Российской Федерации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[S35] </w:t>
      </w:r>
      <w:hyperlink r:id="rId50">
        <w:r>
          <w:rPr>
            <w:color w:val="2E74B5"/>
            <w:u w:val="single"/>
            <w:rFonts w:ascii="Calibri" w:hAnsi="Calibri" w:eastAsia="Calibri"/>
          </w:rPr>
          <w:t>РАН: отчет о деятельности и масштабе научной экспертизы</w:t>
        </w:r>
      </w:hyperlink>
    </w:p>
    <w:p>
      <w:pPr>
        <w:spacing w:after="80"/>
        <w:ind w:left="504" w:hanging="504"/>
      </w:pPr>
      <w:r>
        <w:rPr>
          <w:rFonts w:ascii="Calibri" w:hAnsi="Calibri" w:eastAsia="Calibri"/>
          <w:b/>
          <w:color w:val="17365D"/>
          <w:sz w:val="16"/>
        </w:rPr>
        <w:t xml:space="preserve">[S36] </w:t>
      </w:r>
      <w:hyperlink r:id="rId51">
        <w:r>
          <w:rPr>
            <w:color w:val="2E74B5"/>
            <w:u w:val="single"/>
            <w:rFonts w:ascii="Calibri" w:hAnsi="Calibri" w:eastAsia="Calibri"/>
          </w:rPr>
          <w:t>РЖД: история Транссибирской магистрали</w:t>
        </w:r>
      </w:hyperlink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 w:eastAsia="Calibri"/>
        <w:color w:val="5B6573"/>
        <w:sz w:val="16"/>
      </w:rPr>
      <w:t xml:space="preserve">Стратегический аналитический материал  •  </w:t>
    </w:r>
    <w:r>
      <w:rPr>
        <w:rFonts w:ascii="Calibri" w:hAnsi="Calibri" w:eastAsia="Calibri"/>
        <w:color w:val="5B6573"/>
        <w:sz w:val="17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 w:eastAsia="Calibri"/>
        <w:b/>
        <w:color w:val="5B6573"/>
        <w:sz w:val="16"/>
      </w:rPr>
      <w:t>БАЛАНСЫ РОССИИ, 1896–2026  •  АКАДЕМИЯ НАУК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60" w:line="320" w:lineRule="auto"/>
      <w:jc w:val="both"/>
    </w:pPr>
    <w:rPr>
      <w:rFonts w:ascii="Calibri" w:hAnsi="Calibri" w:eastAsia="Calibri"/>
      <w:color w:val="243447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jc w:val="left"/>
      <w:outlineLvl w:val="0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jc w:val="left"/>
      <w:outlineLvl w:val="1"/>
    </w:pPr>
    <w:rPr>
      <w:rFonts w:asciiTheme="majorHAnsi" w:eastAsiaTheme="majorEastAsia" w:hAnsiTheme="majorHAnsi" w:cstheme="majorBidi" w:ascii="Calibri" w:hAnsi="Calibri" w:eastAsia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 w:ascii="Calibri" w:hAnsi="Calibri" w:eastAsia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240" w:line="240" w:lineRule="auto" w:before="0"/>
      <w:contextualSpacing/>
      <w:jc w:val="left"/>
    </w:pPr>
    <w:rPr>
      <w:rFonts w:asciiTheme="majorHAnsi" w:eastAsiaTheme="majorEastAsia" w:hAnsiTheme="majorHAnsi" w:cstheme="majorBidi" w:ascii="Calibri" w:hAnsi="Calibri" w:eastAsia="Calibri"/>
      <w:b/>
      <w:color w:val="17365D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00"/>
      <w:jc w:val="left"/>
    </w:pPr>
    <w:rPr>
      <w:rFonts w:asciiTheme="majorHAnsi" w:eastAsiaTheme="majorEastAsia" w:hAnsiTheme="majorHAnsi" w:cstheme="majorBidi" w:ascii="Calibri" w:hAnsi="Calibri" w:eastAsia="Calibri"/>
      <w:b w:val="0"/>
      <w:i/>
      <w:iCs/>
      <w:color w:val="5B6573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image" Target="media/image2.png"/><Relationship Id="rId13" Type="http://schemas.openxmlformats.org/officeDocument/2006/relationships/image" Target="media/image3.png"/><Relationship Id="rId14" Type="http://schemas.openxmlformats.org/officeDocument/2006/relationships/image" Target="media/image4.png"/><Relationship Id="rId15" Type="http://schemas.openxmlformats.org/officeDocument/2006/relationships/image" Target="media/image5.png"/><Relationship Id="rId16" Type="http://schemas.openxmlformats.org/officeDocument/2006/relationships/hyperlink" Target="https://www.prlib.ru/item/433585" TargetMode="External"/><Relationship Id="rId17" Type="http://schemas.openxmlformats.org/officeDocument/2006/relationships/hyperlink" Target="https://www.prlib.ru/history/619019" TargetMode="External"/><Relationship Id="rId18" Type="http://schemas.openxmlformats.org/officeDocument/2006/relationships/hyperlink" Target="https://rosstat.gov.ru/bgd/regl/b12_13/IssWWW.exe/Stg/d1/04-02.htm" TargetMode="External"/><Relationship Id="rId19" Type="http://schemas.openxmlformats.org/officeDocument/2006/relationships/hyperlink" Target="https://ps.rosstat.gov.ru/215" TargetMode="External"/><Relationship Id="rId20" Type="http://schemas.openxmlformats.org/officeDocument/2006/relationships/hyperlink" Target="https://cbr.ru/about_br/history/" TargetMode="External"/><Relationship Id="rId21" Type="http://schemas.openxmlformats.org/officeDocument/2006/relationships/hyperlink" Target="https://www.cbr.ru/queries/xsltblock/file/86200/-1/1201" TargetMode="External"/><Relationship Id="rId22" Type="http://schemas.openxmlformats.org/officeDocument/2006/relationships/hyperlink" Target="https://www.hist.msu.ru/Labs/Ecohist/DBASES/INDUSTRY/index.htm" TargetMode="External"/><Relationship Id="rId23" Type="http://schemas.openxmlformats.org/officeDocument/2006/relationships/hyperlink" Target="https://istmat.org/node/33971" TargetMode="External"/><Relationship Id="rId24" Type="http://schemas.openxmlformats.org/officeDocument/2006/relationships/hyperlink" Target="https://istmat.org/files/uploads/17165/narhoz_sssr_1956_promyshlennost.pdf" TargetMode="External"/><Relationship Id="rId25" Type="http://schemas.openxmlformats.org/officeDocument/2006/relationships/hyperlink" Target="https://minenergo.gov.ru/ministry/goelro-story" TargetMode="External"/><Relationship Id="rId26" Type="http://schemas.openxmlformats.org/officeDocument/2006/relationships/hyperlink" Target="https://www.prlib.ru/history/619087" TargetMode="External"/><Relationship Id="rId27" Type="http://schemas.openxmlformats.org/officeDocument/2006/relationships/hyperlink" Target="https://www.ras.ru/digest/showdnews.aspx?id=6cc2a62d-d806-44dd-a96c-ae451383389f" TargetMode="External"/><Relationship Id="rId28" Type="http://schemas.openxmlformats.org/officeDocument/2006/relationships/hyperlink" Target="https://www.ras.ru/news/shownews.aspx?id=99594c04-ea43-40d3-854d-6cbe3d39206b&amp;print=1" TargetMode="External"/><Relationship Id="rId29" Type="http://schemas.openxmlformats.org/officeDocument/2006/relationships/hyperlink" Target="https://95.rosstat.gov.ru/storage/mediabank/Rosstat_Tsifry_Pobedy%281%29.pdf" TargetMode="External"/><Relationship Id="rId30" Type="http://schemas.openxmlformats.org/officeDocument/2006/relationships/hyperlink" Target="https://istmat.org/files/uploads/17728/narhoz_sssr_1987_intensifikaciya.pdf" TargetMode="External"/><Relationship Id="rId31" Type="http://schemas.openxmlformats.org/officeDocument/2006/relationships/hyperlink" Target="https://istmat.org/node/57491" TargetMode="External"/><Relationship Id="rId32" Type="http://schemas.openxmlformats.org/officeDocument/2006/relationships/hyperlink" Target="https://www.sbras.ru/" TargetMode="External"/><Relationship Id="rId33" Type="http://schemas.openxmlformats.org/officeDocument/2006/relationships/hyperlink" Target="https://nrcki.ru/catalog/o-centre/uchastniki/kurchatovskij-institut/istoriya/" TargetMode="External"/><Relationship Id="rId34" Type="http://schemas.openxmlformats.org/officeDocument/2006/relationships/hyperlink" Target="https://www.roscosmos.ru/dates/2/" TargetMode="External"/><Relationship Id="rId35" Type="http://schemas.openxmlformats.org/officeDocument/2006/relationships/hyperlink" Target="https://new.ras.ru/academy-new/300-let-istorii/velikie-potryaseniya/" TargetMode="External"/><Relationship Id="rId36" Type="http://schemas.openxmlformats.org/officeDocument/2006/relationships/hyperlink" Target="https://new.ras.ru/academy/ustav-normativnye-dokumenty/i-obshchie-polozheniya/" TargetMode="External"/><Relationship Id="rId37" Type="http://schemas.openxmlformats.org/officeDocument/2006/relationships/hyperlink" Target="https://publication.pravo.gov.ru/Document/View/0001201309300001" TargetMode="External"/><Relationship Id="rId38" Type="http://schemas.openxmlformats.org/officeDocument/2006/relationships/hyperlink" Target="https://rosstat.gov.ru/statistics/accounts" TargetMode="External"/><Relationship Id="rId39" Type="http://schemas.openxmlformats.org/officeDocument/2006/relationships/hyperlink" Target="https://rosstat.gov.ru/statistics/price" TargetMode="External"/><Relationship Id="rId40" Type="http://schemas.openxmlformats.org/officeDocument/2006/relationships/hyperlink" Target="https://rosstat.gov.ru/folder/12781" TargetMode="External"/><Relationship Id="rId41" Type="http://schemas.openxmlformats.org/officeDocument/2006/relationships/hyperlink" Target="https://rosstat.gov.ru/folder/313/document/255130" TargetMode="External"/><Relationship Id="rId42" Type="http://schemas.openxmlformats.org/officeDocument/2006/relationships/hyperlink" Target="https://rosstat.gov.ru/bgd/regl/b11_14p/IssWWW.exe/Stg/d01/05-11.htm" TargetMode="External"/><Relationship Id="rId43" Type="http://schemas.openxmlformats.org/officeDocument/2006/relationships/hyperlink" Target="https://rosstat.gov.ru/storage/mediabank/33_13-03-2026.html" TargetMode="External"/><Relationship Id="rId44" Type="http://schemas.openxmlformats.org/officeDocument/2006/relationships/hyperlink" Target="https://rosstat.gov.ru/statistics/science" TargetMode="External"/><Relationship Id="rId45" Type="http://schemas.openxmlformats.org/officeDocument/2006/relationships/hyperlink" Target="https://rosstat.gov.ru/bgd/regl/B01_57/IssWWW.exe/Stg/d010/i010010r.htm" TargetMode="External"/><Relationship Id="rId46" Type="http://schemas.openxmlformats.org/officeDocument/2006/relationships/hyperlink" Target="https://issek.hse.ru/news/1105778603.html" TargetMode="External"/><Relationship Id="rId47" Type="http://schemas.openxmlformats.org/officeDocument/2006/relationships/hyperlink" Target="https://minenergo.gov.ru/upload/iblock/24f/w5di5x0ijq6p6wjy4haccvptagofymwr/Prezentatsia_Kollegia_Minenergo.pdf" TargetMode="External"/><Relationship Id="rId48" Type="http://schemas.openxmlformats.org/officeDocument/2006/relationships/hyperlink" Target="https://www.cbr.ru/statistics/macro_itm/external_sector/ir/" TargetMode="External"/><Relationship Id="rId49" Type="http://schemas.openxmlformats.org/officeDocument/2006/relationships/hyperlink" Target="https://www.cbr.ru/statistics/macro_itm/external_sector/pb/p_balance/" TargetMode="External"/><Relationship Id="rId50" Type="http://schemas.openxmlformats.org/officeDocument/2006/relationships/hyperlink" Target="https://new.ras.ru/activities/news/gennadiy-krasnikov-predstavil-otchyet-o-deyatelnosti-ran-i-klyuchevye-dostizheniya-rossiyskikh-uchye/" TargetMode="External"/><Relationship Id="rId51" Type="http://schemas.openxmlformats.org/officeDocument/2006/relationships/hyperlink" Target="https://company.rzd.ru/ru/9401/page/78314?accessible=true&amp;id=287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Балансы России за 130 лет: 1896–2026</dc:title>
  <dc:subject>Российская империя, СССР, Российская Федерация; влияние Академии наук</dc:subject>
  <dc:creator>OpenAI — аналитическая подготовка для Соколова Сергея Леонидовича</dc:creator>
  <cp:keywords>Россия; национальные балансы; Академия наук; Российская империя; СССР; Российская Федерация; 1896–2026</cp:keywords>
  <dc:description>Стратегический аналитический материал. Версия 1.0 от 27.08.2026.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