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00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360" w:line="320" w:lineRule="auto"/>
        <w:jc w:val="center"/>
      </w:pPr>
      <w:r>
        <w:rPr>
          <w:rFonts w:ascii="Calibri" w:hAnsi="Calibri" w:eastAsia="Calibri"/>
          <w:b/>
          <w:i w:val="0"/>
          <w:color w:val="C9A227"/>
          <w:sz w:val="21"/>
        </w:rPr>
        <w:t>СТРАТЕГИЧЕСКИЙ АНАЛИТИЧЕСКИЙ МАТЕРИАЛ</w:t>
      </w:r>
    </w:p>
    <w:p>
      <w:pPr>
        <w:pStyle w:val="Title"/>
        <w:spacing w:after="160"/>
        <w:jc w:val="center"/>
      </w:pPr>
      <w:r>
        <w:rPr>
          <w:rFonts w:ascii="Calibri" w:hAnsi="Calibri" w:eastAsia="Calibri"/>
          <w:b/>
          <w:color w:val="17365D"/>
          <w:sz w:val="60"/>
        </w:rPr>
        <w:t>Балансы Китая и США</w:t>
        <w:br/>
        <w:t>за 130 лет</w:t>
      </w:r>
    </w:p>
    <w:p>
      <w:pPr>
        <w:keepNext w:val="0"/>
        <w:spacing w:before="0" w:after="160" w:line="320" w:lineRule="auto"/>
        <w:jc w:val="center"/>
      </w:pPr>
      <w:r>
        <w:rPr>
          <w:rFonts w:ascii="Calibri" w:hAnsi="Calibri" w:eastAsia="Calibri"/>
          <w:b/>
          <w:i w:val="0"/>
          <w:color w:val="2E74B5"/>
          <w:sz w:val="36"/>
        </w:rPr>
        <w:t>1896–2026</w:t>
      </w:r>
    </w:p>
    <w:p>
      <w:pPr>
        <w:keepNext w:val="0"/>
        <w:spacing w:before="0" w:after="560" w:line="320" w:lineRule="auto"/>
        <w:jc w:val="center"/>
      </w:pPr>
      <w:r>
        <w:rPr>
          <w:rFonts w:ascii="Calibri" w:hAnsi="Calibri" w:eastAsia="Calibri"/>
          <w:b/>
          <w:i w:val="0"/>
          <w:color w:val="1F4D78"/>
          <w:sz w:val="30"/>
        </w:rPr>
        <w:t>Россия как третий контур • Эквилибриум • Смыслы • Польза синхронизации</w:t>
      </w:r>
    </w:p>
    <w:p>
      <w:pPr>
        <w:keepNext w:val="0"/>
        <w:spacing w:before="0" w:after="1640" w:line="320" w:lineRule="auto"/>
        <w:jc w:val="center"/>
      </w:pPr>
      <w:r>
        <w:rPr>
          <w:rFonts w:ascii="Calibri" w:hAnsi="Calibri" w:eastAsia="Calibri"/>
          <w:b w:val="0"/>
          <w:i w:val="0"/>
          <w:color w:val="C9A227"/>
          <w:sz w:val="21"/>
        </w:rPr>
        <w:t>—  Исторический разбор по эпохам и сценарный расчёт 2026–2035  —</w:t>
      </w:r>
    </w:p>
    <w:p>
      <w:pPr>
        <w:keepNext w:val="0"/>
        <w:spacing w:before="0" w:after="80" w:line="320" w:lineRule="auto"/>
        <w:jc w:val="center"/>
      </w:pPr>
      <w:r>
        <w:rPr>
          <w:rFonts w:ascii="Calibri" w:hAnsi="Calibri" w:eastAsia="Calibri"/>
          <w:b/>
          <w:i w:val="0"/>
          <w:color w:val="17365D"/>
          <w:sz w:val="24"/>
        </w:rPr>
        <w:t>27 августа 2026</w:t>
      </w:r>
    </w:p>
    <w:p>
      <w:pPr>
        <w:keepNext w:val="0"/>
        <w:spacing w:before="0" w:after="400" w:line="32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9"/>
        </w:rPr>
        <w:t>Подготовлено для Соколова Сергея Леонидовича</w:t>
      </w:r>
    </w:p>
    <w:p>
      <w:pPr>
        <w:keepNext w:val="0"/>
        <w:spacing w:before="0" w:after="0" w:line="320" w:lineRule="auto"/>
        <w:jc w:val="center"/>
      </w:pPr>
      <w:r>
        <w:rPr>
          <w:rFonts w:ascii="Calibri" w:hAnsi="Calibri" w:eastAsia="Calibri"/>
          <w:b w:val="0"/>
          <w:i w:val="0"/>
          <w:color w:val="5B6573"/>
          <w:sz w:val="18"/>
        </w:rPr>
        <w:t>Фактический горизонт заканчивается преимущественно 2025 годом; 2026 — дата среза. Все будущие эффекты маркированы как сценарии, а не прогноз.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Резюме для решений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$52,83 трлн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номинальный ВВП трёх стран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44,6% мира, 2025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≈51%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мировых военных расходов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2025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≈49%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территориальных выбросов CO₂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2024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$0,6–1,0 трлн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центральный годовой дивиденд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сценарий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ГЛАВНЫЙ ВЫВОД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Полная интеграция трёх держав нереалистична и нежелательна. Реалистична модульная синхронизация измеримых общественных благ: стратегическая стабильность, климат и метан, пандемии, фундаментальная наука, гражданская атомная энергетика, совместимые технические стандарты и аварийная логистика.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Китай за 130 лет перешёл от распада денежных и территориальных связей к крупнейшей производственной и электрической системе мира; его новый дефицит — демография, внутренний спрос, жильё и обратная связь.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США создали наиболее сильную связку федеральной науки, предпринимательства, капитала, стандартов и союзных сетей; их слабое место — долг, неравномерная инфраструктура и отрыв финансово‑технологических потоков от социального воспроизводства.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Россия добавляет ресурсную глубину, ядерно‑космические и тяжёлые инженерные компетенции, географическую устойчивость; ограничение — слабое превращение стратегических запасов в диверсифицированные гражданские потоки.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Базовый структурный сценарий даёт ≈$1,00 трлн чистой годовой пользы к 2035 году после 20%-го вычета перекрытий и ≈$4,49 трлн NPV за 2026–2035. Консервативная независимая проверка даёт ≈$0,60 трлн в год и ≈$4,02 трлн NPV.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Ядерный, климатический, эпидемиологический и технологический хвостовой риск не монетизирован. Поэтому денежная модель сознательно неполна и скорее занижает общественную ценность безопасной координации.</w:t>
      </w:r>
    </w:p>
    <w:p>
      <w:pPr>
        <w:pStyle w:val="Heading1"/>
      </w:pPr>
      <w:r>
        <w:t>Как читать Эквилибриум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Эквилибриум — не равенство сил и не отсутствие конфликта. Это способность системы воспроизводить себя, не уничтожая собственные запасы, легитимность и среду.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4100"/>
        <w:gridCol w:w="3510"/>
      </w:tblGrid>
      <w:tr>
        <w:trPr>
          <w:tblHeader w:val="true"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Ось</w:t>
            </w:r>
          </w:p>
        </w:tc>
        <w:tc>
          <w:tcPr>
            <w:tcW w:type="dxa" w:w="4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Что измеряем</w:t>
            </w:r>
          </w:p>
        </w:tc>
        <w:tc>
          <w:tcPr>
            <w:tcW w:type="dxa" w:w="35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Типичный разрыв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Запасы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Природный, производственный, инфраструктурный, человеческий, научный, финансовый и институциональный капитал.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Ресурсы не превращаются в благосостояние.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Потоки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Доход, торговля, инвестиции, энергия, производительность, диффузия технологий.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Быстрый рост создаёт долг и критические зависимости.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Воспроизводство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Демография, здоровье, образование, НИОКР, амортизация, природный капитал.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Текущий поток потребляет будущее.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Устойчивость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Диверсификация, резервы, продовольствие, энергия, время восстановления.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Эффективность в норме оборачивается хрупкостью при шоке.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Легитимность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Доверие, предсказуемые правила, распределение выгод, обратная связь.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Принуждение и разовые сделки заменяют устойчивое согласие.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Внешние эффекты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Выбросы, истощение, будущие обязательства, трансграничные и военные риски.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Выгода внутри создаёт больший ущерб вовне или в будущем.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Авторская аналитическая рамка; показатели нормируются относительно безопасного коридора.</w:t>
      </w:r>
    </w:p>
    <w:p>
      <w:pPr>
        <w:pStyle w:val="Heading2"/>
      </w:pPr>
      <w:r>
        <w:t>Формула индекса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E = 100 × ∏(sᵢ / 100)ʷⁱ. Геометрическое среднее намеренно делает слабое измерение значимым: высокий ВВП не может полностью компенсировать демографический провал или стратегическую неустойчивость.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ДИНАМИЧЕСКОЕ УСЛОВИЕ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Воспроизводство + прирост запасов ≥ амортизация + ущерб + накопленный риск.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Методика и границы сопоставления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1896 — начало горизонта, но первые твёрдые точки часто относятся к 1900, 1910 или 1913 годам.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До 1950 года китайский ВВП — академическая реконструкция Maddison Project Database 2023, а не официальная статистика. Международные доллары 2011 года нельзя смешивать с текущими долларами.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Материковый Китай, Китайская республика, оккупированные территории, Гонконг, Макао и Тайвань имеют различный охват в источниках. В таблицах указаны ближайшие сопоставимые точки.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Для США федеральный долг, валовой государственный долг, долг населения и нефинансовых корпораций — разные периметры; они не суммируются механически.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2026 год — дата публикационного среза. Последний полный годовой факт в большинстве рядов — 2025; прогноз IMF на 2026 не используется как наблюдение.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Сценарный расчёт синхронизации — прозрачная модель диапазона, не прогноз, не оценка бюджетного дохода и не рекомендация политического союза.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КОНТРОЛЬ ЛОЖНОЙ ТОЧНОСТИ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Ранние цифры округлены; альтернативные реконструкции могут менять знак краткосрочного тренда. Поэтому ключевой объект анализа — порядок величины, механизм баланса и направление изменения, а не десятые доли процента.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Китай: карта 130‑летнего перехода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3100"/>
        <w:gridCol w:w="4810"/>
      </w:tblGrid>
      <w:tr>
        <w:trPr>
          <w:tblHeader w:val="true"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Период</w:t>
            </w:r>
          </w:p>
        </w:tc>
        <w:tc>
          <w:tcPr>
            <w:tcW w:type="dxa" w:w="3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Механизм</w:t>
            </w:r>
          </w:p>
        </w:tc>
        <w:tc>
          <w:tcPr>
            <w:tcW w:type="dxa" w:w="48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Балансовый итог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1896–1911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Поздняя Цин: модернизация без суверенного контроля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Запасы знаний и инфраструктуры возникали, но внешняя зависимость и низкая фискальная ёмкость не позволяли превратить их в массовый доход.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1912–1927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Республика: сети быстрее государства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Рыночные потоки ускорились, но центральное государство не обеспечивало единых денег, безопасности и инфраструктурного стандарта.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1928–1936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Нанкинское десятилетие: короткая сборка государства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Инвестиции и монетизация ускорились, но бюджет не превышал примерно 8,8% ВВП, а активы были сконцентрированы на побережье.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1937–1949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Война и гиперинфляция: уничтожение капитала и доверия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Эмиссия заменила бюджет, перемещение — воспроизводство, а военная логика — инвестиционную.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1949–1957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Восстановление и I пятилетка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Производственные и человеческие запасы быстро восстанавливались; сельское хозяйство и потребление оставались подчинёнными тяжёлой индустрии.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1958–1962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Большой скачок: цель без обратной связи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Слабая проверка данных и подавленная обратная связь сделали плановое ускорение источником системного ущерба.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1963–1965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Коррекция: V‑образное восстановление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Пропорции и стимулы восстановили поток без смены политического режима.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1966–1978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Крепостное равновесие и стратегические мощности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Автономность и тяжёлая инфраструктура усилились; услуги, мобильность труда и критическая научная среда отставали.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1978–1991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Реформы: высвобождение скрытой производительности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Главный ресурс — не новый капитал, а снятие административных блокировок с труда, аграрного излишка и местной инициативы.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1992–2001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Институциональная сборка перед ВТО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Институты рынка и инфраструктура подготовили экспортный рывок; цена — увольнения, региональный разрыв и слабая социальная защита.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2001–2008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ВТО и экспортно‑инвестиционный суперцикл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Профициты увеличили внешний буфер, но низкая доля потребления и выбросы перенесли часть издержек в будущее и за границы баланса.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2009–2019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Кредит, инфраструктура и цифровые платформы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Инфраструктура стала реальным активом; долг местных структур и недвижимость — отложенным обязательством.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2020–2026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Технологический максимум и дефицит воспроизводства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Производственный и технологический запас рекорден; узкие места — население, внутренний спрос, жильё, долг и доверие домохозяйств.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Периодизация авторская; фактические опоры приведены на последующих страницах.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46289"/>
            <wp:docPr id="1" name="Picture 1" title="Китай: ВВП и урбанизация" descr="Линейный график ВВП Китая в текущих долларах и доли городского населения для 1978, 1991, 2001, 2008, 2019 и 2025 годо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na_gdp_urba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46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Источники: World Bank WDI [S08]. Для непрерывности графика урбанизации использован WDI/UN; официальная NBS‑оценка 2025 — 67,89%.</w:t>
      </w:r>
    </w:p>
    <w:p>
      <w:pPr>
        <w:pStyle w:val="Heading1"/>
      </w:pPr>
      <w:r>
        <w:t>Китай: 1896–1911 — Поздняя Цин: модернизация без суверенного контроля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Железные дороги и новые школы росли, но выпуск на душу и управляемость не успевали за демографией и внешними обязательствами.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400,0 → 427,7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1900–1911; +6,9%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388,8 → 387,0 млрд intl$ 2011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1900–1911; −0,5%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972 → 905 intl$ 2011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−6,9%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Железные дороги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≈9,4 тыс. км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1911; лишь ≈20% под китайским контролем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Новые школы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&lt;7 тыс. → 1,6 млн учащихся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1902–1909; ≈59 тыс. школ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Боксёрская контрибуция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450 млн хайгуаньских лянов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4% годовых, 39 лет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Запасы знаний и инфраструктуры возникали, но внешняя зависимость и низкая фискальная ёмкость не позволяли превратить их в массовый доход.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Суверенитет без механизма координации капитала, территории и информации оставался декларативным.</w:t>
      </w:r>
    </w:p>
    <w:p>
      <w:pPr>
        <w:pStyle w:val="Heading1"/>
      </w:pPr>
      <w:r>
        <w:t>Китай: 1912–1927 — Республика: сети быстрее государства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Портовые города, банки, школы и частная промышленность развивались при политической раздробленности.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437,1 → 487,3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ближайшие точки 1913–1929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430,6 → 488,7 млрд intl$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+13,5%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985 → 1 003 intl$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+1,8%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Железные дороги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≈8 → 12 тыс. км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1912–1927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Учащиеся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≈3 → почти 7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1912–1922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Современная промышленность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≈+13,8%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1912–1920, с очень низкой базы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Рыночные потоки ускорились, но центральное государство не обеспечивало единых денег, безопасности и инфраструктурного стандарта.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Экономическая сеть способна жить при слабом центре — но почти не способна амортизировать войну и системный шок.</w:t>
      </w:r>
    </w:p>
    <w:p>
      <w:pPr>
        <w:pStyle w:val="Heading1"/>
      </w:pPr>
      <w:r>
        <w:t>Китай: 1928–1936 — Нанкинское десятилетие: короткая сборка государства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Национальные финансы, научные институты и транспорт впервые начали складываться в единый контур.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487,3 → 508,0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1929–1936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488,7 → 541,0 млрд intl$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+10,7%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1 003 → 1 065 intl$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+6,2%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Современная промышленность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≈2%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1933; остров в аграрной экономике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Учащиеся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≈20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1936; начальные и средние школы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Academia Sinica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основана в 1928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15 сезонов раскопок Иньсюя до 1937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[S30]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Инвестиции и монетизация ускорились, но бюджет не превышал примерно 8,8% ВВП, а активы были сконцентрированы на побережье.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Институты начали синхронизировать знание и государство; запас прочности оказался меньше внешней угрозы.</w:t>
      </w:r>
    </w:p>
    <w:p>
      <w:pPr>
        <w:pStyle w:val="Heading1"/>
      </w:pPr>
      <w:r>
        <w:t>Китай: 1937–1949 — Война и гиперинфляция: уничтожение капитала и доверия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Военный и гражданский разрыв одновременно разрушил физические активы, человеческий капитал и денежную координацию.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510,6 → 541,7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1937–1949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1 034 → 799 intl$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1937–1950; −22,7%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Совокупный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≈−17,3%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1937–1950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Потери войны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≈15 млн погибших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60–95 млн беженцев; академические оценки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Рабочие железные дороги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≈11 тыс. км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из 21,8 тыс. км проложенных к 1949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Уровень цен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≈×36 трлн к довоенному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май 1949; ретроспектива Bank of China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[S31]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Эмиссия заменила бюджет, перемещение — воспроизводство, а военная логика — инвестиционную.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Гиперинфляция превратила военный дефицит в кризис легитимности: без доверия денежный поток перестаёт координировать обмен.</w:t>
      </w:r>
    </w:p>
    <w:p>
      <w:pPr>
        <w:pStyle w:val="Heading1"/>
      </w:pPr>
      <w:r>
        <w:t>Китай: 1949–1957 — Восстановление и I пятилетка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Индустриальный каркас был создан быстрее потребительского, но восстановление здоровья и базового производства было реальным.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541,7 → 646,5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+19,4%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≈+9,27%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1953–1957; +55,8% накопленно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Промышленность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≈+19,7%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I пятилетка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Уголь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32 → 131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1949–1957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4,3 → 19,3 ТВт·ч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1949–1957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Сталь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0,158 → 5,35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1949–1957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Производственные и человеческие запасы быстро восстанавливались; сельское хозяйство и потребление оставались подчинёнными тяжёлой индустрии.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Централизация оказалась эффективна для сборки базового капитала, но заложила риск ошибки единого плана.</w:t>
      </w:r>
    </w:p>
    <w:p>
      <w:pPr>
        <w:pStyle w:val="Heading1"/>
      </w:pPr>
      <w:r>
        <w:t>Китай: 1958–1962 — Большой скачок: цель без обратной связи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Мобилизация тяжёлой промышленности разрушила продовольственное, демографическое и информационное равновесие.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−9,3% к уровню 1957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1958–1962; после +21,3% в 1958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Зерно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≈200 → 143,5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1958–1960; ≈−28%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Зерно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306 → 240 кг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1957–1962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Смертность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25,4‰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1960; официальный ряд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662,1 → 658,6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1960–1961; −3,48 млн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Избыточные смерти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≈16,5–30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академический диапазон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[S32]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Слабая проверка данных и подавленная обратная связь сделали плановое ускорение источником системного ущерба.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Эквилибриум требует права реальности отменять политическую цель; без этого мощность превращается в разрушение воспроизводства.</w:t>
      </w:r>
    </w:p>
    <w:p>
      <w:pPr>
        <w:pStyle w:val="Heading1"/>
      </w:pPr>
      <w:r>
        <w:t>Китай: 1963–1965 — Коррекция: V‑образное восстановление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Возврат аграрных стимулов и отраслевых пропорций показал ценность адаптивности даже внутри плановой системы.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≈+15,1%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1963–1965; +52,5% накопленно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Сектора A/L/H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37,3 / 32,3 / 30,4%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1965 против 21,8 / 26,1 / 52,1% в 1960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Сталь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6,67 → 12,23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1962–1965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45,8 → 67,6 ТВт·ч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1962–1965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Зерно на душу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240 → 272 кг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1962–1965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Нефть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5,75 → 11,31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1962–1965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Пропорции и стимулы восстановили поток без смены политического режима.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Устойчивость определяется не отсутствием ошибок, а скоростью признания ошибки и восстановления обратной связи.</w:t>
      </w:r>
    </w:p>
    <w:p>
      <w:pPr>
        <w:pStyle w:val="Heading1"/>
      </w:pPr>
      <w:r>
        <w:t>Китай: 1966–1978 — Крепостное равновесие и стратегические мощности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Энергия, нефть и оборонная наука росли при почти замороженной урбанизации и повреждённом воспроизводстве академических кадров.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≈+6,25%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1966–1978; с рецессиями 1967, 1968, 1976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725,4 → 962,6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+32,7%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Урбанизация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17,98% → 17,92%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1965–1978; почти без сдвига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188 → 628 млн т у.т.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1965–1978; ×3,34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Нефть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11,3 → 104,1 млн 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1965–1978; ×9,2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67,6 → 256,6 ТВт·ч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1965–1978; ×3,8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[S05]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Автономность и тяжёлая инфраструктура усилились; услуги, мобильность труда и критическая научная среда отставали.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CAS помогла создать атомную бомбу, спутник, синтетический инсулин и другие результаты, но не могла компенсировать закрытие вузов и разрушение проверки.</w:t>
      </w:r>
    </w:p>
    <w:p>
      <w:pPr>
        <w:pStyle w:val="Heading1"/>
      </w:pPr>
      <w:r>
        <w:t>Китай: 1978–1991 — Реформы: высвобождение скрытой производительности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Семейный подряд, волостно‑поселковые предприятия и СЭЗ перевели труд в более производительные контуры без демонтажа государства.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≈+9,10%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1979–1991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$0,150 → $0,385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1978–1991, текущие доллары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956 → 1 151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1978–1991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Урбанизация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17,92% → 26,94%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1978–1991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Товарооборот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$20,6 → $135,6 млрд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1978–1991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Резервы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$0,167 → $21,7 млрд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1978–1991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[S06]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Главный ресурс — не новый капитал, а снятие административных блокировок с труда, аграрного излишка и местной инициативы.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Реформа показала, что сочетание рынка и стратегического государства может повысить поток без мгновенной потери управляемости.</w:t>
      </w:r>
    </w:p>
    <w:p>
      <w:pPr>
        <w:pStyle w:val="Heading1"/>
      </w:pPr>
      <w:r>
        <w:t>Китай: 1992–2001 — Институциональная сборка перед ВТО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Рынок стал основным механизмом аллокации, а государство сохранило контроль над финансами, землёй и командными высотами.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≈+10,42%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1992–2001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$0,385 → $1,355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текущие доллары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Доля мирового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1,60% → 4,02%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номинал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Урбанизация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26,94% → 37,66%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1991–2001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Товарооборот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$509,8 млрд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0,93%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Институты рынка и инфраструктура подготовили экспортный рывок; цена — увольнения, региональный разрыв и слабая социальная защита.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 вступлению в ВТО Китай уже был системой координации рынка и долгого государственного капитала, а не только «дешёвой фабрикой».</w:t>
      </w:r>
    </w:p>
    <w:p>
      <w:pPr>
        <w:pStyle w:val="Heading1"/>
      </w:pPr>
      <w:r>
        <w:t>Китай: 2001–2008 — ВТО и экспортно‑инвестиционный суперцикл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Максимальная внешняя эффективность дала резервы и технологии, одновременно усилив зависимость от спроса и экологическую нагрузку.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≈+11,06%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2002–2008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$1,355 → $4,667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2001–2008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Торговля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38,1% → 56,7%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пик внешней зависимости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Текущий счёт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1,28% → 9,01%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2001–2008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Резервы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$212 млрд → $1,946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2001–2008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CO₂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3,72 → 7,49 Гт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2001–2008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[S29]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Профициты увеличили внешний буфер, но низкая доля потребления и выбросы перенесли часть издержек в будущее и за границы баланса.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Внешний спрос способен ускорить модернизацию, но не заменяет внутреннего воспроизводства доходов и среды.</w:t>
      </w:r>
    </w:p>
    <w:p>
      <w:pPr>
        <w:pStyle w:val="Heading1"/>
      </w:pPr>
      <w:r>
        <w:t>Китай: 2009–2019 — Кредит, инфраструктура и цифровые платформы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После кризиса внешний дисбаланс уменьшился, но его место заняли внутренний кредит, земля и недвижимость.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≈+7,82% в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2009–2019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$4,667 → $14,56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2008–2019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Доля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7,25% → 16,40%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номинальный ВВП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Торговля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56,7% → 35,45%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внешняя макрозависимость снизилась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2,20%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[S07]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ВСМ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≈35 тыс. км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[S07]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Инфраструктура стала реальным активом; долг местных структур и недвижимость — отложенным обязательством.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Китай перешёл от экспортной зависимости к внутренней инвестиционной, сохранив высокую способность исполнения.</w:t>
      </w:r>
    </w:p>
    <w:p>
      <w:pPr>
        <w:pStyle w:val="Heading1"/>
      </w:pPr>
      <w:r>
        <w:t>Китай: 2020–2026 — Технологический максимум и дефицит воспроизводства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Слабость Китая — не способность производить, а способность превратить производство в устойчивое внутреннее благосостояние.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140,19 трлн юаней / $19,50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2025; реальный рост +5,0%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1 404,89 млн; −3,39 млн за год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2025; рождаемость 7,92 млн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Урбанизация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67,89%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2025, определение NBS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Товарооборот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$6,355 трлн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экспорт $3,772 трлн; профицит $1,189 трлн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3,926 трлн юаней; 2,80%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2025; фундаментальная наука 7,08% НИОКР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Генерация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10 575 ТВт·ч; чистая 40,2%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2025; мощность 3,891 ТВт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[S02]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Производственный и технологический запас рекорден; узкие места — население, внутренний спрос, жильё, долг и доверие домохозяйств.</w:t>
      </w:r>
    </w:p>
    <w:p>
      <w:pPr>
        <w:pStyle w:val="Heading2"/>
      </w:pPr>
      <w:r>
        <w:t>Смысл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Следующий этап требует переноса центра тяжести с «инвестиции + экспорт» на доходы, социальную защиту и производительность.</w:t>
      </w:r>
    </w:p>
    <w:p>
      <w:pPr>
        <w:pStyle w:val="Heading1"/>
      </w:pPr>
      <w:r>
        <w:t>Китай: что изменила Академия наук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1949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создание CAS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стратегический экспертный центр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&gt;1 600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исследовательских учреждений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к середине 1960-х, вся система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78 тыс.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международных PCT-заявок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2025, порядок величины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2,80%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НИОКР / ВВП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2025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Китайская академия наук была особенно сильна как интегратор стратегических задач: фундаментальная физика, атомная и космическая программы, материалы, биология, геология и экспертная поддержка индустриальной политики. Её вклад проявлялся не в “создании ВВП вообще”, а в сокращении неопределённости и времени между задачей, исследованием, прототипом и масштабированием.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Сильная институциональная связка: стратегическая задача → академический институт → инженерный контур → промышленное масштабирование.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Проверяемые символические результаты маоистского периода: атомная бомба (1964), кристаллический инсулин (1965), водородная бомба (1967), спутник (1970), гибридный рис и артемизинин.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Главный предел: Академия не может заменить правдивую статистику, автономную проверку и воспроизводство кадров. Закрытие вузов и нарушения 1966–1970 годов показали эту границу.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Современный вызов: доля фундаментальных исследований — 7,08% НИОКР в 2025 году; рост общего бюджета не автоматически означает достаточный запас открытой базовой науки.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ВЫВОД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Академия увеличивает стратегическую автономность, когда встроена в контур постановки задач и внедрения; она сохраняет эквилибриум только при наличии независимой проверки и долгого кадрового воспроизводства.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США: карта 130‑летнего перехода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3100"/>
        <w:gridCol w:w="4810"/>
      </w:tblGrid>
      <w:tr>
        <w:trPr>
          <w:tblHeader w:val="true"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Период</w:t>
            </w:r>
          </w:p>
        </w:tc>
        <w:tc>
          <w:tcPr>
            <w:tcW w:type="dxa" w:w="3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Механизм</w:t>
            </w:r>
          </w:p>
        </w:tc>
        <w:tc>
          <w:tcPr>
            <w:tcW w:type="dxa" w:w="48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Балансовый итог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1896–1916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Массовое производство и национальный рынок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Индустриальный масштаб, иммиграция и национальные сети создали поток быстрее социальной защиты и финансового надзора.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1917–1929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Электрификация, потребительский кредит и уязвимость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Электричество и массовое потребление увеличили производительность; кредитная надстройка стала источником нестабильности.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1929–1945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Депрессия, Новый курс и мобилизация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Государство стало балансировщиком последней инстанции; военная мобилизация восстановила выпуск, но через чрезвычайный режим и долг.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1945–1971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Широкий послевоенный эквилибриум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Рост производительности, массовое образование, инфраструктура, наука и распределение доходов были синхронизированы лучше, чем в последующие периоды.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1971–2000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Долларовые, финансовые и цифровые сети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После отказа от золота доверие монетизировалось через доллар, рынки капитала, технологии и правила; производство постепенно теряло относительный вес.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2001–2019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Глобальная опционность и цена финансового рычага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Доллар, технологии и рынки позволяли финансировать дефицит; кризис 2008 показал цену отрыва финансовых потоков от качества активов.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2020–2026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Энергетическая и научная сила при долге и старении</w:t>
            </w:r>
          </w:p>
        </w:tc>
        <w:tc>
          <w:tcPr>
            <w:tcW w:type="dxa" w:w="4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США сохраняют передовую науку, энергию, капитал и сети; ограничения — долг, неравномерная инфраструктура, старение и быстрый рост энергоспроса ИИ.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Периодизация авторская; ряды населения, образования, НИОКР, энергии и долга имеют разные источники.</w:t>
      </w:r>
    </w:p>
    <w:p>
      <w:pPr>
        <w:pStyle w:val="Heading1"/>
      </w:pPr>
      <w:r>
        <w:t>США: 1896–1916 — Массовое производство и национальный рынок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Индустриальный масштаб, иммиграция и национальные сети создали поток быстрее социальной защиты и финансового надзора.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76,2 → 92,2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1900–1910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Городская доля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39,6% → 45,6%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1900–1910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Доля мирового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≈16%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1900, реконструкция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[S01]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Средняя школа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13,5% завершали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Бакалавр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2,7%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1910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Институты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ФРС 1913; NACA 1915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координация денег и авиационной науки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[S14]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Индустриальный масштаб, иммиграция и национальные сети создали поток быстрее социальной защиты и финансового надзора.</w:t>
      </w:r>
    </w:p>
    <w:p>
      <w:pPr>
        <w:pStyle w:val="Heading1"/>
      </w:pPr>
      <w:r>
        <w:t>США: 1917–1929 — Электрификация, потребительский кредит и уязвимость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Электричество и массовое потребление увеличили производительность; кредитная надстройка стала источником нестабильности.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106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1920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Городская доля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51,2%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1920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Номинальный ВВП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$104,6 млрд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1929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Новая инфраструктура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автомобиль, радио, электросети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массовая диффузия 1920-х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Кредит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быстрое расширение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потребление и ценные бумаги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Финансовый итог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крах 1929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переоценённый риск и слабая защита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[S14]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Электричество и массовое потребление увеличили производительность; кредитная надстройка стала источником нестабильности.</w:t>
      </w:r>
    </w:p>
    <w:p>
      <w:pPr>
        <w:pStyle w:val="Heading1"/>
      </w:pPr>
      <w:r>
        <w:t>США: 1929–1945 — Депрессия, Новый курс и мобилизация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Государство стало балансировщиком последней инстанции; военная мобилизация восстановила выпуск, но через чрезвычайный режим и долг.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Реальный выпуск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≈−30%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1929–1933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Безработица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≈25%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пик Великой депрессии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132,2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Городская доля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56,5%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Средняя школа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24,5% завершали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[S15]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Федеральный 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114,1%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[S17]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Государство стало балансировщиком последней инстанции; военная мобилизация восстановила выпуск, но через чрезвычайный режим и долг.</w:t>
      </w:r>
    </w:p>
    <w:p>
      <w:pPr>
        <w:pStyle w:val="Heading1"/>
      </w:pPr>
      <w:r>
        <w:t>США: 1945–1971 — Широкий послевоенный эквилибриум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Рост производительности, массовое образование, инфраструктура, наука и распределение доходов были синхронизированы лучше, чем в последующие периоды.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151,3 → 203,2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1950–1970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Городская доля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64,0% → 73,6%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1950–1970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334 → 1 535 ТВт·ч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1950–1970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1,33% → 2,45%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1953–1970; пик 2,79% в 1964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85,7% → 35,5%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1948–1970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[S17]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Институты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NSF 1950; NASA и DARPA 1958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федеральная наука и закупки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[S16]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Рост производительности, массовое образование, инфраструктура, наука и распределение доходов были синхронизированы лучше, чем в последующие периоды.</w:t>
      </w:r>
    </w:p>
    <w:p>
      <w:pPr>
        <w:pStyle w:val="Heading1"/>
      </w:pPr>
      <w:r>
        <w:t>США: 1971–2000 — Долларовые, финансовые и цифровые сети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После отказа от золота доверие монетизировалось через доллар, рынки капитала, технологии и правила; производство постепенно теряло относительный вес.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203,2 → 281,4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Городская доля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73,6% → 79,0%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1 535 → 3 802 ТВт·ч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2,45% → 2,61%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35,5% → 54,9%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[S17]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Бакалавр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11,0% → 25,6%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1970–2000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[S15]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После отказа от золота доверие монетизировалось через доллар, рынки капитала, технологии и правила; производство постепенно теряло относительный вес.</w:t>
      </w:r>
    </w:p>
    <w:p>
      <w:pPr>
        <w:pStyle w:val="Heading1"/>
      </w:pPr>
      <w:r>
        <w:t>США: 2001–2019 — Глобальная опционность и цена финансового рычага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Доллар, технологии и рынки позволяли финансировать дефицит; кризис 2008 показал цену отрыва финансовых потоков от качества активов.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281,4 → 328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2000–2019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Федеральный 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54,5% → 105,2%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[S17]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2,63% → 3,09%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2001–2019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Текущий счёт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−6,2%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2006, максимум дефицита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≈4 ПВт·ч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2019, порядок величины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Обрабатывающая промышленность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≈10–12%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конец периода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Доллар, технологии и рынки позволяли финансировать дефицит; кризис 2008 показал цену отрыва финансовых потоков от качества активов.</w:t>
      </w:r>
    </w:p>
    <w:p>
      <w:pPr>
        <w:pStyle w:val="Heading1"/>
      </w:pPr>
      <w:r>
        <w:t>США: 2020–2026 — Энергетическая и научная сила при долге и старении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ТЕЗИС ЭПОХИ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США сохраняют передовую науку, энергию, капитал и сети; ограничения — долг, неравномерная инфраструктура, старение и быстрый рост энергоспроса ИИ.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900"/>
        <w:gridCol w:w="4300"/>
        <w:gridCol w:w="12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Период / периметр</w:t>
            </w:r>
          </w:p>
        </w:tc>
        <w:tc>
          <w:tcPr>
            <w:tcW w:type="dxa" w:w="1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Население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331,45 → 341,78 млн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2020–2025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[S34]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65+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≈61,2 млн; около 18%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[S12]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Электроэнергия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≈4,43 ПВт·ч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[S18]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НИОКР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$1,009 трлн по ППС; 3,44%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[S16]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Федеральный 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≈121,5% ВВП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2025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[S17]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Доллар в резервах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≈57%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2026Q1, IMF COFER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[S13]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Числа — контрольные точки; границы и методики указаны в третьем столбце.</w:t>
      </w:r>
    </w:p>
    <w:p>
      <w:pPr>
        <w:pStyle w:val="Heading2"/>
      </w:pPr>
      <w:r>
        <w:t>Диагноз Эквилибриума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США сохраняют передовую науку, энергию, капитал и сети; ограничения — долг, неравномерная инфраструктура, старение и быстрый рост энергоспроса ИИ.</w:t>
      </w:r>
    </w:p>
    <w:p>
      <w:pPr>
        <w:pStyle w:val="Heading1"/>
      </w:pPr>
      <w:r>
        <w:t>США: научно‑инновационный контур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≈$1,009 трлн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расходы на НИОКР по ППС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2024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3,44%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НИОКР / ВВП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2024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29%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мировых НИОКР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2024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1950/1958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NSF / NASA и DARPA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институциональные якоря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Американская модель отличается не одной “академией”, а распределённой экосистемой: федеральные агентства формулируют миссии и закупают результат; университеты производят фундаментальное знание и кадры; предприниматели и рынок капитала масштабируют; стандарты и союзные сети расширяют внешний рынок.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Преимущество — высокая инновационная опционность: множество параллельных экспериментов и быстрый перенос успешного решения в капитал и стандарты.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Уязвимость — отрыв финансовой оценки от качества физического актива, продемонстрированный кризисом 2008 года.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Новый балансовый вызов — энергоёмкость вычислений и ИИ: научный поток растёт, но требует электросетей, генерации, воды, кадров и локального согласия.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Федеральный долг повышает стоимость выбора: инновационные и оборонные обязательства конкурируют с обслуживанием долга и стареющим населением.</w:t>
      </w:r>
    </w:p>
    <w:p>
      <w:pPr>
        <w:pStyle w:val="Heading1"/>
      </w:pPr>
      <w:r>
        <w:t>Три державы: масштаб, который делает координацию системной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44183"/>
            <wp:docPr id="2" name="Picture 2" title="ВВП США, Китая и России" descr="Сгруппированные столбцы номинального ВВП и ВВП по ППС США, Китая и России за 2025 год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io_gd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441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Источник: World Bank [S19–S21]. Сумма номинального ВВП — $52,829 трлн, или 44,6% мирового; сумма по ППС — $79,265 трлн, или около 37,5% мирового.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2100"/>
        <w:gridCol w:w="1750"/>
        <w:gridCol w:w="1900"/>
        <w:gridCol w:w="1510"/>
      </w:tblGrid>
      <w:tr>
        <w:trPr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Контур</w:t>
            </w:r>
          </w:p>
        </w:tc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Сумма трёх стран</w:t>
            </w:r>
          </w:p>
        </w:tc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Доля мира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Дата</w:t>
            </w:r>
          </w:p>
        </w:tc>
        <w:tc>
          <w:tcPr>
            <w:tcW w:type="dxa" w:w="15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Источник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Номинальный ВВП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$52,829 трлн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44,6%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2025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[S19–S20]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ВВП по ППС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$79,265 трлн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≈37,5%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2025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[S21]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Население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≈1,892 млрд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≈23%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2025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[S19]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Военные расходы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$1,480 трлн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≈51%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2025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[S22]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Территориальные CO₂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≈18,96 Гт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≈49,2%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2024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[S29]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Первичная энергия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≈304,5 ЭДж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≈49% мира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2024, оценка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[S28]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Внешнеторговый оборот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≈$12,3 трлн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≈25% мирового оборота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2024, валовая сумма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[S26–S27]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Торговый оборот считает экспорт и импорт и поэтому содержит двойной счёт. Энергетическая оценка зависит от методики замещения.</w:t>
      </w:r>
    </w:p>
    <w:p>
      <w:pPr>
        <w:pStyle w:val="Heading1"/>
      </w:pPr>
      <w:r>
        <w:t>Смыслы трёх систем: не характер, а оптимизируемая функция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1750"/>
        <w:gridCol w:w="3180"/>
        <w:gridCol w:w="3180"/>
      </w:tblGrid>
      <w:tr>
        <w:trPr>
          <w:tblHeader w:val="true"/>
        </w:trPr>
        <w:tc>
          <w:tcPr>
            <w:tcW w:type="dxa" w:w="1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Система</w:t>
            </w:r>
          </w:p>
        </w:tc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Что оптимизирует</w:t>
            </w:r>
          </w:p>
        </w:tc>
        <w:tc>
          <w:tcPr>
            <w:tcW w:type="dxa" w:w="31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Сильный смысл</w:t>
            </w:r>
          </w:p>
        </w:tc>
        <w:tc>
          <w:tcPr>
            <w:tcW w:type="dxa" w:w="31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Риск</w:t>
            </w:r>
          </w:p>
        </w:tc>
      </w:tr>
      <w:t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Китай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Масштаб и координация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Суверенитет через организованное развитие и материальное воспроизводство.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Инвестиции опережают доходы, демографию, экологию и обратную связь.</w:t>
            </w:r>
          </w:p>
        </w:tc>
      </w:tr>
      <w:t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США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Опционность и сети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Свобода действия через инновации, капитал, стандарты и союзные сети.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Финансово‑технологические потоки отрываются от промышленного и социального воспроизводства.</w:t>
            </w:r>
          </w:p>
        </w:tc>
      </w:tr>
      <w:t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Россия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Автономия и выживаемость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Суверенитет через ресурсную глубину и способность выдерживать длительный шок.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Оборонно‑сырьевые запасы доминируют над диверсифицированными гражданскими потоками.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Аналитические идеальные типы; не утверждение о неизменном национальном характере.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ФОРМУЛА КОМПЛЕМЕНТАРНОСТИ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Общий эквилибриум возникает, когда китайский масштаб, американская опционность и российская устойчивость перестают взаимно разрушать друг друга.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1800"/>
        <w:gridCol w:w="2050"/>
        <w:gridCol w:w="1750"/>
        <w:gridCol w:w="2310"/>
      </w:tblGrid>
      <w:tr>
        <w:trPr>
          <w:tblHeader w:val="true"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Контур</w:t>
            </w:r>
          </w:p>
        </w:tc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США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Китай</w:t>
            </w:r>
          </w:p>
        </w:tc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Россия</w:t>
            </w:r>
          </w:p>
        </w:tc>
        <w:tc>
          <w:tcPr>
            <w:tcW w:type="dxa" w:w="2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Синергия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Наука и технологии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Передовые исследования, ПО, капитал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Инженерная итерация и масштабирование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Фундаментальная школа, атом, космос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Идея → прототип → массовая система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Производство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Капиталоёмкие высокие технологии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Полнота цепочек и масштаб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Материалы, энергия, тяжёлая инженерия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Низкая цена + резервируемость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Энергия и климат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Технологии, финансы, рынок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Крупнейшая электроэнергетика и cleantech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Ресурсы, атом, Арктика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Стандарты сетей, атома и метана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Глобальные риски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Вычисления, спутники, эпидемиология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Масштаб внедрения и производства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Стратегическая стабильность, Арктика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Общественные блага вне одиночной державы</w:t>
            </w:r>
          </w:p>
        </w:tc>
      </w:tr>
    </w:tbl>
    <w:p>
      <w:pPr>
        <w:pStyle w:val="Heading1"/>
      </w:pPr>
      <w:r>
        <w:t>Польза синхронизации: модель и формулы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ОПРЕДЕЛЕНИЕ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Синхронизация — не союз, не единая валюта и не снятие всех ограничений. Это ограниченная, проверяемая совместимость в проектах, где общественный результат выше стоимости зависимости.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Базовая экономика трёх стран в 2025 году Y₂₅ = $52,829 трлн. При совокупном реальном росте 2,2% в год условный масштаб 2035 года Y₃₅ = $65,672 трлн. Чистый эффект в 2035 году:</w:t>
      </w:r>
    </w:p>
    <w:p>
      <w:pPr>
        <w:keepNext w:val="0"/>
        <w:spacing w:before="0" w:after="200" w:line="320" w:lineRule="auto"/>
        <w:jc w:val="center"/>
      </w:pPr>
      <w:r>
        <w:rPr>
          <w:rFonts w:ascii="Calibri" w:hAnsi="Calibri" w:eastAsia="Calibri"/>
          <w:b/>
          <w:i w:val="0"/>
          <w:color w:val="17365D"/>
          <w:sz w:val="28"/>
        </w:rPr>
        <w:t>Net₃₅ = F + 0,8 × (EL + S) + D − C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800"/>
        <w:gridCol w:w="2250"/>
        <w:gridCol w:w="3110"/>
      </w:tblGrid>
      <w:tr>
        <w:trPr>
          <w:tblHeader w:val="true"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Компонент</w:t>
            </w:r>
          </w:p>
        </w:tc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Формула</w:t>
            </w:r>
          </w:p>
        </w:tc>
        <w:tc>
          <w:tcPr>
            <w:tcW w:type="dxa" w:w="2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Низкий / базовый / высокий</w:t>
            </w:r>
          </w:p>
        </w:tc>
        <w:tc>
          <w:tcPr>
            <w:tcW w:type="dxa" w:w="3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Логика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 — предотвращённая фрагментация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Y₃₅ × f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0,5% / 1,2% / 2,5%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Калибровка внутри диапазона IMF 0,2–почти 7% мирового выпуска.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EL — торговля и логистика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T×a×c×0,5 + 5%Y₂₅×e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a=40/50/60%; c=2/4/6%; e=1/3/5%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T≈$12,3 трлн; 0,5 убирает двойной счёт импорта/экспорта.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 — научная диффузия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R×q×m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q=5/10/15%; m=25/50/75%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R≈$1,52 трлн номинальных НИОКР; выигрыш только на совместимом контуре.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 — меньше дублирования безопасности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M×d×0,5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d=2/6/12%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M=$1,48 трлн; считается лишь половина как продуктивный эквивалент.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 — координационные издержки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Y₃₅×k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0,05/0,08/0,12%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Верификация, адаптация, кибербезопасность, компенсации, резервирование.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20%-й вычет перекрытий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0,8×(EL+S)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единый для трёх сценариев</w:t>
            </w:r>
          </w:p>
        </w:tc>
        <w:tc>
          <w:tcPr>
            <w:tcW w:type="dxa" w:w="3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Не позволяет дважды посчитать торговую и научную производительность.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Параметры — сценарные допущения автора; внешние источники задают лишь порядок баз и допустимый диапазон ущерба.</w:t>
      </w:r>
    </w:p>
    <w:p>
      <w:pPr>
        <w:pStyle w:val="Heading1"/>
      </w:pPr>
      <w:r>
        <w:t>Сколько даёт синхронизация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46289"/>
            <wp:docPr id="3" name="Picture 3" title="Сценарная польза синхронизации" descr="Столбчатая диаграмма чистой ежегодной пользы: консервативный срез 0,60, низкий 0,386, базовый 1,001 и высокий 2,072 трлн долларо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nc_annu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46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Модель автора. Структурные сценарии — эффект к 2035 году; консервативный срез — независимая проверка устойчивого годового эффекта.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500"/>
        <w:gridCol w:w="1700"/>
        <w:gridCol w:w="1700"/>
        <w:gridCol w:w="2760"/>
      </w:tblGrid>
      <w:tr>
        <w:trPr>
          <w:tblHeader w:val="true"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Сценарий</w:t>
            </w:r>
          </w:p>
        </w:tc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Чисто / год</w:t>
            </w:r>
          </w:p>
        </w:tc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NPV 2026–2035</w:t>
            </w:r>
          </w:p>
        </w:tc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До вычета перекрытий</w:t>
            </w:r>
          </w:p>
        </w:tc>
        <w:tc>
          <w:tcPr>
            <w:tcW w:type="dxa" w:w="27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Интерпретация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Низкий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$0,386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$1,73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$0,405 трлн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Ограниченные стандарты, безопасность, отдельная логистика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Базовый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$1,001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$4,49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$1,058 трлн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Функциональная синхронизация; рекомендуемый ориентир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Высокий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$2,072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$9,29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$2,176 трлн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Широкая разрядка; высокая политическая и зависимостная цена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Консервативная проверка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≈$0,600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≈$4,02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—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Другая база и параметры; 3-летняя фаза, ставка 4%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Строгая проверка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$0,779 трлн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—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—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Базовый сценарий без EL и S — только F + D − C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NPV структурной модели: линейный рост эффекта от 10% до 100%, реальная ставка 3%; коэффициент 4,4839.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46289"/>
            <wp:docPr id="4" name="Picture 4" title="Компоненты базового сценария" descr="Диаграмма компонентов базового сценария 2035: предотвращённая фрагментация 0,788, торговля и логистика 0,162 после вычета, НИОКР 0,061 после вычета, оборонное дублирование 0,044 и издержки минус 0,053 трлн долларо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nc_component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46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Базовый сценарий: F=$0,788 трлн; EL=$0,202 трлн и S=$0,076 трлн до 20%-го вычета; D=$0,044 трлн; C=$0,053 трлн.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КОРРЕКТНАЯ ФОРМУЛИРОВКА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Центральный правдоподобный дивиденд — примерно $0,6–1,0 трлн в год и $4,0–4,5 трлн NPV за 2026–2035. Широкий сценарный диапазон — $0,36–2,07 трлн в год. Это не бюджетный доход и не гарантия.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Что не монетизировано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850"/>
        <w:gridCol w:w="2550"/>
        <w:gridCol w:w="2060"/>
      </w:tblGrid>
      <w:tr>
        <w:trPr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Риск</w:t>
            </w:r>
          </w:p>
        </w:tc>
        <w:tc>
          <w:tcPr>
            <w:tcW w:type="dxa" w:w="2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Механизм синхронизации</w:t>
            </w:r>
          </w:p>
        </w:tc>
        <w:tc>
          <w:tcPr>
            <w:tcW w:type="dxa" w:w="2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Почему важен</w:t>
            </w:r>
          </w:p>
        </w:tc>
        <w:tc>
          <w:tcPr>
            <w:tcW w:type="dxa" w:w="2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Как считать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Ядерная эскалация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Горячие линии, уведомления, правила ИИ и человеческое решение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Ожидаемый ущерб = вероятность × катастрофическая стоимость; параметры ненадёжны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Показывать отдельно, не добавлять к ВВП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Климат и метан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Совместимые измерения, спутниковая верификация, стандарты утечек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Три страны ≈49% территориальных CO₂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Считать по предотвращённым тоннам и локальному здоровью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Пандемии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Раннее оповещение, библиотеки образцов, резервные мощности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Редкий, но глобальный системный ущерб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Сценарии времени обнаружения и выпуска вакцин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Технологическая авария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Общие протоколы инцидентов ИИ, космоса и киберсистем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Высокая неопределённость и двойное назначение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Ограничить контур, измерять время восстановления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New START истёк в феврале 2026 года; SIPRI подчёркивает рост ядерной неопределённости [S23].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IMF оценивает долгосрочные потери от геоэкономической фрагментации в диапазоне 0,2% — почти 7% мирового выпуска, а технологический разрыв для отдельных стран — до 12% ВВП. WTO показывает почти 7% долгосрочной потери мирового ВВП в жёстком сценарии двух блоков. Эти оценки задают верхнюю рамку, но не означают, что трёхсторонняя координация автоматически предотвращает весь ущерб. [S24–S25]</w:t>
      </w:r>
    </w:p>
    <w:p>
      <w:pPr>
        <w:pStyle w:val="Heading1"/>
      </w:pPr>
      <w:r>
        <w:t>Архитектура безопасной синхронизации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Контур</w:t>
            </w:r>
          </w:p>
        </w:tc>
        <w:tc>
          <w:tcPr>
            <w:tcW w:type="dxa" w:w="67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Минимальный предмет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1. Стратегическая устойчивость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Горячие линии; уведомления об учениях и пусках; правила поведения в космосе и киберпространстве; обязательное человеческое решение в ядерном контуре.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2. Воспроизводство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Климат и метан; пандемии; продовольствие; Арктика; фундаментальная наука; гражданская атомная энергетика.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3. Совместимость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Метрология; технические стандарты; аварийная логистика; страхование и расчёты для разрешённых проектов — без единой валюты и политического союза.</w:t>
            </w:r>
          </w:p>
        </w:tc>
      </w:tr>
    </w:tbl>
    <w:p>
      <w:pPr>
        <w:pStyle w:val="Heading2"/>
      </w:pPr>
      <w:r>
        <w:t>Защитные условия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Узкий предмет каждого соглашения и симметрия проверяемого результата.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Общий базовый набор данных, независимая верификация и публичная методика.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Поэтапные обратимые пилоты; автоматический пересмотр или приостановка при нарушении.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Сохранение исходной интеллектуальной собственности и заранее заданный режим проектной ИС.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Гражданско‑военный firewall, экспортный контроль и запрет переноса в согласованные военные категории.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Диверсификация критических поставок: сотрудничество не должно создавать монопольную зависимость.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Открытость для третьих стран, соблюдающих те же правила; отсутствие закрытого “директората трёх”.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Распределение выгоды по проверенному вкладу и предотвращённому ущербу, а не только по политическому весу.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Лестница споров: техническая группа → независимая экспертиза → политический уровень → пропорциональная приостановка.</w:t>
      </w:r>
    </w:p>
    <w:p>
      <w:pPr>
        <w:pStyle w:val="Heading1"/>
      </w:pPr>
      <w:r>
        <w:t>Сценарии 2026–2035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000"/>
        <w:gridCol w:w="2300"/>
        <w:gridCol w:w="2260"/>
      </w:tblGrid>
      <w:tr>
        <w:trPr>
          <w:tblHeader w:val="true"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Сценарий</w:t>
            </w:r>
          </w:p>
        </w:tc>
        <w:tc>
          <w:tcPr>
            <w:tcW w:type="dxa" w:w="3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Что синхронизируется</w:t>
            </w:r>
          </w:p>
        </w:tc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Экономический результат</w:t>
            </w:r>
          </w:p>
        </w:tc>
        <w:tc>
          <w:tcPr>
            <w:tcW w:type="dxa" w:w="2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Эквилибриум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Блочная фрагментация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Только аварийные контакты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Дублирование мощностей, дорогие стандарты и логистика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Локальная автономия ↑; глобальные внешние эффекты резко хуже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Управляемое соперничество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Ядерные инциденты, эпидемии, отдельные климатические данные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Небольшая прямая выгода, большая опционная ценность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Главный выигрыш — меньшая вероятность катастрофы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Функциональная синхронизация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Безопасность + наука + энергия + метан + стандарты + разрешённая логистика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≈$0,6–1,0 трлн/год как центральный диапазон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Лучший реалистичный баланс автономии и общего результата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Стратегическая разрядка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Широкие рынки, институты и контроль вооружений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 верхней части диапазона модели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Максимум валовой выгоды, но высокий риск новой зависимости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РЕКОМЕНДАЦИЯ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Наиболее устойчив третий сценарий: сотрудничество там, где результат измерим, зависимость ограничиваема, нарушение обнаружимо, а выход обратим.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Выводы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01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Эквилибриум — это воспроизводство без накопления необратимых долгов.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02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За 130 лет три державы ломались не от нехватки силы, а от разрыва между ростом, обратной связью и воспроизводством.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03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Китай превратил масштаб в производственную мощность; новый дефицит — демография, доходы домохозяйств и доверие к будущему.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04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США превратили инновации, капитал и стандарты в глобальные потоки; слабое место — социальная и инфраструктурная воспроизводимость.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05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Россия сохранила стратегические запасы и автономию; узкое место — их превращение в диверсифицированные гражданские потоки.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06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1991–2008 годы были не гармонией, а неуправляемой треугольной синхронизацией спроса, производства и ресурсов.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07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Разрыв связей повышает автономию отдельных контуров, но умножает дублирование, стоимость стандартов и внешние эффекты.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08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Полная интеграция нереалистична; модульная синхронизация измеримых общественных благ реалистична.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09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Центральный денежный дивиденд — около $0,6–1,0 трлн в год; стратегическая польза от снижения хвостовых рисков может быть больше, но честно не монетизирована.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10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Успех измеряется временем восстановления, обновлением капитала и распределением выгоды — не числом подписанных соглашений.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1"/>
      </w:pPr>
      <w:r>
        <w:t>Приложение A. Проверка арифметики модели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000"/>
        <w:gridCol w:w="5660"/>
      </w:tblGrid>
      <w:tr>
        <w:trPr>
          <w:tblHeader w:val="true"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Переменная</w:t>
            </w:r>
          </w:p>
        </w:tc>
        <w:tc>
          <w:tcPr>
            <w:tcW w:type="dxa" w:w="2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5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Проверка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Y₂₅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$52,829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30,770 + 19,498 + 2,561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Y₃₅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$65,672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52,829 × 1,022¹⁰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База торговли 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$12,3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валовой экспорт+импорт; двойной счёт учтён множителем 0,5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База НИОКР R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$1,52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номинальная аппроксимация; не смешивать с PPP-оценкой NSF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Военная база M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$1,48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SIPRI 2025: 954 + 336 + 190 млрд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F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$0,788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65,672 × 1,2%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EL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$0,202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 вычета перекрытий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S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$0,076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 вычета перекрытий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D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$0,044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1,48 × 6% × 0,5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C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$0,053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65,672 × 0,08%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Базовый Net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$1,001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0,788 + 0,8×(0,202+0,076) + 0,044 − 0,053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NPV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$4,49 трлн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Net × 4,4839; линейная фаза, реальная ставка 3%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Округление может давать расхождение в последнем знаке.</w:t>
      </w:r>
    </w:p>
    <w:p>
      <w:pPr>
        <w:pStyle w:val="Heading1"/>
      </w:pPr>
      <w:r>
        <w:t>Приложение B. Источники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5B6573"/>
          <w:sz w:val="19"/>
        </w:rPr>
        <w:t>Основные первичные и авторитетные источники. Дата доступа: 27 августа 2026 года.</w:t>
      </w:r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[S01] </w:t>
      </w:r>
      <w:hyperlink r:id="rId17">
        <w:r>
          <w:rPr>
            <w:color w:val="2E74B5"/>
            <w:u w:val="single"/>
            <w:rFonts w:ascii="Calibri" w:hAnsi="Calibri"/>
          </w:rPr>
          <w:t>Maddison Project Database 2023: исторические ВВП и население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[S02] </w:t>
      </w:r>
      <w:hyperlink r:id="rId18">
        <w:r>
          <w:rPr>
            <w:color w:val="2E74B5"/>
            <w:u w:val="single"/>
            <w:rFonts w:ascii="Calibri" w:hAnsi="Calibri"/>
          </w:rPr>
          <w:t>NBS China: статистическое коммюнике за 2025 год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[S03] </w:t>
      </w:r>
      <w:hyperlink r:id="rId19">
        <w:r>
          <w:rPr>
            <w:color w:val="2E74B5"/>
            <w:u w:val="single"/>
            <w:rFonts w:ascii="Calibri" w:hAnsi="Calibri"/>
          </w:rPr>
          <w:t>NBS China: ВВП и реальные темпы 1952–1978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[S04] </w:t>
      </w:r>
      <w:hyperlink r:id="rId20">
        <w:r>
          <w:rPr>
            <w:color w:val="2E74B5"/>
            <w:u w:val="single"/>
            <w:rFonts w:ascii="Calibri" w:hAnsi="Calibri"/>
          </w:rPr>
          <w:t>NBS China: демографическая ретроспектива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[S05] </w:t>
      </w:r>
      <w:hyperlink r:id="rId21">
        <w:r>
          <w:rPr>
            <w:color w:val="2E74B5"/>
            <w:u w:val="single"/>
            <w:rFonts w:ascii="Calibri" w:hAnsi="Calibri"/>
          </w:rPr>
          <w:t>China Statistical Yearbook: промышленная продукция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[S06] </w:t>
      </w:r>
      <w:hyperlink r:id="rId22">
        <w:r>
          <w:rPr>
            <w:color w:val="2E74B5"/>
            <w:u w:val="single"/>
            <w:rFonts w:ascii="Calibri" w:hAnsi="Calibri"/>
          </w:rPr>
          <w:t>NBS China: внешняя торговля, исторический ряд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[S07] </w:t>
      </w:r>
      <w:hyperlink r:id="rId23">
        <w:r>
          <w:rPr>
            <w:color w:val="2E74B5"/>
            <w:u w:val="single"/>
            <w:rFonts w:ascii="Calibri" w:hAnsi="Calibri"/>
          </w:rPr>
          <w:t>NBS China: статистическое коммюнике за 2019 год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[S08] </w:t>
      </w:r>
      <w:hyperlink r:id="rId24">
        <w:r>
          <w:rPr>
            <w:color w:val="2E74B5"/>
            <w:u w:val="single"/>
            <w:rFonts w:ascii="Calibri" w:hAnsi="Calibri"/>
          </w:rPr>
          <w:t>World Bank WDI: Китай, макроэкономические индикаторы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[S09] </w:t>
      </w:r>
      <w:hyperlink r:id="rId25">
        <w:r>
          <w:rPr>
            <w:color w:val="2E74B5"/>
            <w:u w:val="single"/>
            <w:rFonts w:ascii="Calibri" w:hAnsi="Calibri"/>
          </w:rPr>
          <w:t>IMF: China 2025 Article IV Consultation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[S10] </w:t>
      </w:r>
      <w:hyperlink r:id="rId26">
        <w:r>
          <w:rPr>
            <w:color w:val="2E74B5"/>
            <w:u w:val="single"/>
            <w:rFonts w:ascii="Calibri" w:hAnsi="Calibri"/>
          </w:rPr>
          <w:t>CAS: официальный профиль Китайской академии наук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[S11] </w:t>
      </w:r>
      <w:hyperlink r:id="rId27">
        <w:r>
          <w:rPr>
            <w:color w:val="2E74B5"/>
            <w:u w:val="single"/>
            <w:rFonts w:ascii="Calibri" w:hAnsi="Calibri"/>
          </w:rPr>
          <w:t>WIPO: PCT Yearly Review 2026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[S12] </w:t>
      </w:r>
      <w:hyperlink r:id="rId28">
        <w:r>
          <w:rPr>
            <w:color w:val="2E74B5"/>
            <w:u w:val="single"/>
            <w:rFonts w:ascii="Calibri" w:hAnsi="Calibri"/>
          </w:rPr>
          <w:t>U.S. Census Bureau: исторические таблицы населения и урбанизации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[S13] </w:t>
      </w:r>
      <w:hyperlink r:id="rId29">
        <w:r>
          <w:rPr>
            <w:color w:val="2E74B5"/>
            <w:u w:val="single"/>
            <w:rFonts w:ascii="Calibri" w:hAnsi="Calibri"/>
          </w:rPr>
          <w:t>BEA: National Income and Product Accounts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[S14] </w:t>
      </w:r>
      <w:hyperlink r:id="rId30">
        <w:r>
          <w:rPr>
            <w:color w:val="2E74B5"/>
            <w:u w:val="single"/>
            <w:rFonts w:ascii="Calibri" w:hAnsi="Calibri"/>
          </w:rPr>
          <w:t>Federal Reserve History: создание ФРС и Великая депрессия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[S15] </w:t>
      </w:r>
      <w:hyperlink r:id="rId31">
        <w:r>
          <w:rPr>
            <w:color w:val="2E74B5"/>
            <w:u w:val="single"/>
            <w:rFonts w:ascii="Calibri" w:hAnsi="Calibri"/>
          </w:rPr>
          <w:t>U.S. Department of Education/NCES: Digest of Education Statistics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[S16] </w:t>
      </w:r>
      <w:hyperlink r:id="rId32">
        <w:r>
          <w:rPr>
            <w:color w:val="2E74B5"/>
            <w:u w:val="single"/>
            <w:rFonts w:ascii="Calibri" w:hAnsi="Calibri"/>
          </w:rPr>
          <w:t>NSF/NCSES: R&amp;D and research publications, 2024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[S17] </w:t>
      </w:r>
      <w:hyperlink r:id="rId33">
        <w:r>
          <w:rPr>
            <w:color w:val="2E74B5"/>
            <w:u w:val="single"/>
            <w:rFonts w:ascii="Calibri" w:hAnsi="Calibri"/>
          </w:rPr>
          <w:t>U.S. Treasury/Fiscal Data: долг федерального правительства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[S18] </w:t>
      </w:r>
      <w:hyperlink r:id="rId34">
        <w:r>
          <w:rPr>
            <w:color w:val="2E74B5"/>
            <w:u w:val="single"/>
            <w:rFonts w:ascii="Calibri" w:hAnsi="Calibri"/>
          </w:rPr>
          <w:t>EIA: Monthly Energy Review и Electricity Data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[S19] </w:t>
      </w:r>
      <w:hyperlink r:id="rId35">
        <w:r>
          <w:rPr>
            <w:color w:val="2E74B5"/>
            <w:u w:val="single"/>
            <w:rFonts w:ascii="Calibri" w:hAnsi="Calibri"/>
          </w:rPr>
          <w:t>World Bank: сопоставление США, Китая и России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[S20] </w:t>
      </w:r>
      <w:hyperlink r:id="rId36">
        <w:r>
          <w:rPr>
            <w:color w:val="2E74B5"/>
            <w:u w:val="single"/>
            <w:rFonts w:ascii="Calibri" w:hAnsi="Calibri"/>
          </w:rPr>
          <w:t>World Bank: мировой ВВП и три державы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[S21] </w:t>
      </w:r>
      <w:hyperlink r:id="rId37">
        <w:r>
          <w:rPr>
            <w:color w:val="2E74B5"/>
            <w:u w:val="single"/>
            <w:rFonts w:ascii="Calibri" w:hAnsi="Calibri"/>
          </w:rPr>
          <w:t>World Bank: ВВП по ППС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[S22] </w:t>
      </w:r>
      <w:hyperlink r:id="rId38">
        <w:r>
          <w:rPr>
            <w:color w:val="2E74B5"/>
            <w:u w:val="single"/>
            <w:rFonts w:ascii="Calibri" w:hAnsi="Calibri"/>
          </w:rPr>
          <w:t>SIPRI: мировые военные расходы в 2025 году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[S23] </w:t>
      </w:r>
      <w:hyperlink r:id="rId39">
        <w:r>
          <w:rPr>
            <w:color w:val="2E74B5"/>
            <w:u w:val="single"/>
            <w:rFonts w:ascii="Calibri" w:hAnsi="Calibri"/>
          </w:rPr>
          <w:t>SIPRI Yearbook 2026: ядерные вооружения и окончание New START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[S24] </w:t>
      </w:r>
      <w:hyperlink r:id="rId40">
        <w:r>
          <w:rPr>
            <w:color w:val="2E74B5"/>
            <w:u w:val="single"/>
            <w:rFonts w:ascii="Calibri" w:hAnsi="Calibri"/>
          </w:rPr>
          <w:t>IMF: диапазон потерь от геоэкономической фрагментации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[S25] </w:t>
      </w:r>
      <w:hyperlink r:id="rId41">
        <w:r>
          <w:rPr>
            <w:color w:val="2E74B5"/>
            <w:u w:val="single"/>
            <w:rFonts w:ascii="Calibri" w:hAnsi="Calibri"/>
          </w:rPr>
          <w:t>WTO: сценарий разделения мировой экономики на два блока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[S26] </w:t>
      </w:r>
      <w:hyperlink r:id="rId42">
        <w:r>
          <w:rPr>
            <w:color w:val="2E74B5"/>
            <w:u w:val="single"/>
            <w:rFonts w:ascii="Calibri" w:hAnsi="Calibri"/>
          </w:rPr>
          <w:t>WTO: Global Trade Outlook and Statistics 2025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[S27] </w:t>
      </w:r>
      <w:hyperlink r:id="rId43">
        <w:r>
          <w:rPr>
            <w:color w:val="2E74B5"/>
            <w:u w:val="single"/>
            <w:rFonts w:ascii="Calibri" w:hAnsi="Calibri"/>
          </w:rPr>
          <w:t>BEA: U.S. International Trade in Goods and Services, 2024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[S28] </w:t>
      </w:r>
      <w:hyperlink r:id="rId44">
        <w:r>
          <w:rPr>
            <w:color w:val="2E74B5"/>
            <w:u w:val="single"/>
            <w:rFonts w:ascii="Calibri" w:hAnsi="Calibri"/>
          </w:rPr>
          <w:t>Energy Institute: Statistical Review of World Energy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[S29] </w:t>
      </w:r>
      <w:hyperlink r:id="rId45">
        <w:r>
          <w:rPr>
            <w:color w:val="2E74B5"/>
            <w:u w:val="single"/>
            <w:rFonts w:ascii="Calibri" w:hAnsi="Calibri"/>
          </w:rPr>
          <w:t>Global Carbon Budget / Our World in Data: территориальные выбросы CO₂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[S30] </w:t>
      </w:r>
      <w:hyperlink r:id="rId46">
        <w:r>
          <w:rPr>
            <w:color w:val="2E74B5"/>
            <w:u w:val="single"/>
            <w:rFonts w:ascii="Calibri" w:hAnsi="Calibri"/>
          </w:rPr>
          <w:t>Academia Sinica: раскопки Иньсюя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[S31] </w:t>
      </w:r>
      <w:hyperlink r:id="rId47">
        <w:r>
          <w:rPr>
            <w:color w:val="2E74B5"/>
            <w:u w:val="single"/>
            <w:rFonts w:ascii="Calibri" w:hAnsi="Calibri"/>
          </w:rPr>
          <w:t>Bank of China: гиперинфляция 1946–1949 годов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[S32] </w:t>
      </w:r>
      <w:hyperlink r:id="rId48">
        <w:r>
          <w:rPr>
            <w:color w:val="2E74B5"/>
            <w:u w:val="single"/>
            <w:rFonts w:ascii="Calibri" w:hAnsi="Calibri"/>
          </w:rPr>
          <w:t>PMC: Great Chinese Famine — зерно и демографические оценки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[S33] </w:t>
      </w:r>
      <w:hyperlink r:id="rId49">
        <w:r>
          <w:rPr>
            <w:color w:val="2E74B5"/>
            <w:u w:val="single"/>
            <w:rFonts w:ascii="Calibri" w:hAnsi="Calibri"/>
          </w:rPr>
          <w:t>WIPO: World Intellectual Property Indicators 2025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[S34] </w:t>
      </w:r>
      <w:hyperlink r:id="rId50">
        <w:r>
          <w:rPr>
            <w:color w:val="2E74B5"/>
            <w:u w:val="single"/>
            <w:rFonts w:ascii="Calibri" w:hAnsi="Calibri"/>
          </w:rPr>
          <w:t>U.S. Census Bureau: population clock/data</w:t>
        </w:r>
      </w:hyperlink>
    </w:p>
    <w:p>
      <w:pPr>
        <w:spacing w:after="80" w:line="252" w:lineRule="auto"/>
      </w:pPr>
      <w:r>
        <w:rPr>
          <w:rFonts w:ascii="Calibri" w:hAnsi="Calibri" w:eastAsia="Calibri"/>
          <w:b/>
          <w:color w:val="17365D"/>
          <w:sz w:val="18"/>
        </w:rPr>
        <w:t xml:space="preserve">[S35] </w:t>
      </w:r>
      <w:hyperlink r:id="rId51">
        <w:r>
          <w:rPr>
            <w:color w:val="2E74B5"/>
            <w:u w:val="single"/>
            <w:rFonts w:ascii="Calibri" w:hAnsi="Calibri"/>
          </w:rPr>
          <w:t>World Bank: Россия — макроэкономический профиль</w:t>
        </w:r>
      </w:hyperlink>
    </w:p>
    <w:p>
      <w:pPr>
        <w:pStyle w:val="Heading1"/>
      </w:pPr>
      <w:r>
        <w:t>Приложение C. Термины и оговорки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Термин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Значение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ВВП по ППС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Оценка выпуска с поправкой на различия внутренних цен. Не является рыночной стоимостью активов или валютным ресурсом.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Текущие доллары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Номинальная конвертация по текущему курсу; чувствительна к валюте и дефляторам.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Международный доллар 2011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Единица исторической реконструкции Maddison; не смешивается с текущими долларами.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НИОКР по ППС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Сопоставление реального объёма исследовательских ресурсов; не равно номинальному бюджету в долларах.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Сценарий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Условный расчёт при заданных параметрах. Не обещание, не прогноз и не причинная оценка.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NPV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Приведённая стоимость потока эффектов; зависит от траектории реализации и ставки дисконтирования.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Хвостовой риск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Редкое событие с огромным ущербом; ожидаемая стоимость крайне чувствительна к вероятности.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Синхронизация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9"/>
              </w:rPr>
              <w:t>Ограниченная совместимость данных, стандартов, протоколов и проектов при сохранении политической автономии.</w:t>
            </w:r>
          </w:p>
        </w:tc>
      </w:tr>
    </w:tbl>
    <w:p>
      <w:pPr>
        <w:keepNext w:val="0"/>
        <w:spacing w:before="480" w:after="0" w:line="32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8"/>
        </w:rPr>
        <w:t>Конец документа</w:t>
      </w:r>
    </w:p>
    <w:sectPr w:rsidR="00FC693F" w:rsidRPr="0006063C" w:rsidSect="0003461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6"/>
      </w:rPr>
      <w:t xml:space="preserve">ЭКВИЛИБРИУМ • 1896–2026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6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6"/>
      </w:rPr>
      <w:t xml:space="preserve">ЭКВИЛИБРИУМ • 1896–2026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6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5B6573"/>
        <w:sz w:val="17"/>
      </w:rPr>
      <w:t>БАЛАНСЫ КИТАЯ И США • РОССИЯ КАК ТРЕТИЙ КОНТУР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9"/>
      </w:pPr>
      <w:rPr>
        <w:rFonts w:ascii="Symbol" w:hAnsi="Symbo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Calibr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/>
      <w:spacing w:before="360" w:after="200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yperlink" Target="https://www.rug.nl/ggdc/historicaldevelopment/maddison/releases/maddison-project-database-2023" TargetMode="External"/><Relationship Id="rId18" Type="http://schemas.openxmlformats.org/officeDocument/2006/relationships/hyperlink" Target="https://www.stats.gov.cn/english/PressRelease/202602/t20260228_1962661.html" TargetMode="External"/><Relationship Id="rId19" Type="http://schemas.openxmlformats.org/officeDocument/2006/relationships/hyperlink" Target="https://www.stats.gov.cn/sj/zxfb/202302/t20230203_1899178.html" TargetMode="External"/><Relationship Id="rId20" Type="http://schemas.openxmlformats.org/officeDocument/2006/relationships/hyperlink" Target="https://www.stats.gov.cn/zt_18555/ztfx/qzxzgcl60zn/202303/t20230301_1920384.html" TargetMode="External"/><Relationship Id="rId21" Type="http://schemas.openxmlformats.org/officeDocument/2006/relationships/hyperlink" Target="https://www.stats.gov.cn/sj/ndsj/zgnj/2000/M22c.htm" TargetMode="External"/><Relationship Id="rId22" Type="http://schemas.openxmlformats.org/officeDocument/2006/relationships/hyperlink" Target="https://www.stats.gov.cn/yearbook/1999/q03c.htm" TargetMode="External"/><Relationship Id="rId23" Type="http://schemas.openxmlformats.org/officeDocument/2006/relationships/hyperlink" Target="https://www.stats.gov.cn/english/PressRelease/202002/t20200228_1728917.html" TargetMode="External"/><Relationship Id="rId24" Type="http://schemas.openxmlformats.org/officeDocument/2006/relationships/hyperlink" Target="https://data.worldbank.org/country/china" TargetMode="External"/><Relationship Id="rId25" Type="http://schemas.openxmlformats.org/officeDocument/2006/relationships/hyperlink" Target="https://www.imf.org/en/news/articles/2026/02/18/pr-26053-china-imf-executive-board-concludes-2025-article-iv-consultation" TargetMode="External"/><Relationship Id="rId26" Type="http://schemas.openxmlformats.org/officeDocument/2006/relationships/hyperlink" Target="https://english.cas.cn/about-cas/" TargetMode="External"/><Relationship Id="rId27" Type="http://schemas.openxmlformats.org/officeDocument/2006/relationships/hyperlink" Target="https://www.wipo.int/web-publications/executive-summary-patent-cooperation-treaty-yearly-review-2026-the-international-patent-system/en/patent-cooperation-treaty-yearly-review-2026-executive-summary.html" TargetMode="External"/><Relationship Id="rId28" Type="http://schemas.openxmlformats.org/officeDocument/2006/relationships/hyperlink" Target="https://www.census.gov/programs-surveys/decennial-census/data/tables.html" TargetMode="External"/><Relationship Id="rId29" Type="http://schemas.openxmlformats.org/officeDocument/2006/relationships/hyperlink" Target="https://www.bea.gov/itable/national-gdp-and-personal-income" TargetMode="External"/><Relationship Id="rId30" Type="http://schemas.openxmlformats.org/officeDocument/2006/relationships/hyperlink" Target="https://www.federalreservehistory.org/" TargetMode="External"/><Relationship Id="rId31" Type="http://schemas.openxmlformats.org/officeDocument/2006/relationships/hyperlink" Target="https://nces.ed.gov/programs/digest/" TargetMode="External"/><Relationship Id="rId32" Type="http://schemas.openxmlformats.org/officeDocument/2006/relationships/hyperlink" Target="https://ncses.nsf.gov/pubs/nsbsep20261/discovery-r-d-activity-and-research-publications-2" TargetMode="External"/><Relationship Id="rId33" Type="http://schemas.openxmlformats.org/officeDocument/2006/relationships/hyperlink" Target="https://fiscaldata.treasury.gov/datasets/debt-to-the-penny/debt-to-the-penny" TargetMode="External"/><Relationship Id="rId34" Type="http://schemas.openxmlformats.org/officeDocument/2006/relationships/hyperlink" Target="https://www.eia.gov/totalenergy/data/monthly/" TargetMode="External"/><Relationship Id="rId35" Type="http://schemas.openxmlformats.org/officeDocument/2006/relationships/hyperlink" Target="https://data.worldbank.org/?locations=US-CN-RU" TargetMode="External"/><Relationship Id="rId36" Type="http://schemas.openxmlformats.org/officeDocument/2006/relationships/hyperlink" Target="https://data.worldbank.org/?locations=1W-US-CN" TargetMode="External"/><Relationship Id="rId37" Type="http://schemas.openxmlformats.org/officeDocument/2006/relationships/hyperlink" Target="https://data.worldbank.org/indicator/NY.GDP.MKTP.PP.CD" TargetMode="External"/><Relationship Id="rId38" Type="http://schemas.openxmlformats.org/officeDocument/2006/relationships/hyperlink" Target="https://www.sipri.org/media/press-release/2026/global-military-spending-rise-continues-european-and-asian-expenditures-surge" TargetMode="External"/><Relationship Id="rId39" Type="http://schemas.openxmlformats.org/officeDocument/2006/relationships/hyperlink" Target="https://www.sipri.org/media/press-release/2026/increasing-focus-nuclear-weapons-amid-heightened-escalation-risks-new-sipri-yearbook-out-now" TargetMode="External"/><Relationship Id="rId40" Type="http://schemas.openxmlformats.org/officeDocument/2006/relationships/hyperlink" Target="https://www.imf.org/en/blogs/articles/2023/01/16/confronting-fragmentation-where-it-matters-most-trade-debt-and-climate-action" TargetMode="External"/><Relationship Id="rId41" Type="http://schemas.openxmlformats.org/officeDocument/2006/relationships/hyperlink" Target="https://www.wto.org/english/news_e/news25_e/dgno_09apr25_e.htm" TargetMode="External"/><Relationship Id="rId42" Type="http://schemas.openxmlformats.org/officeDocument/2006/relationships/hyperlink" Target="https://www.wto.org/english/res_e/booksp_e/trade_outlook25_e.pdf" TargetMode="External"/><Relationship Id="rId43" Type="http://schemas.openxmlformats.org/officeDocument/2006/relationships/hyperlink" Target="https://www.bea.gov/news/2025/us-international-trade-goods-and-services-december-and-annual-2024" TargetMode="External"/><Relationship Id="rId44" Type="http://schemas.openxmlformats.org/officeDocument/2006/relationships/hyperlink" Target="https://www.energyinst.org/statistical-review/resources-and-data-downloads" TargetMode="External"/><Relationship Id="rId45" Type="http://schemas.openxmlformats.org/officeDocument/2006/relationships/hyperlink" Target="https://ourworldindata.org/grapher/annual-co2-emissions-per-country" TargetMode="External"/><Relationship Id="rId46" Type="http://schemas.openxmlformats.org/officeDocument/2006/relationships/hyperlink" Target="https://www1.ihp.sinica.edu.tw/en/Research/Groups/anyangArchaeologicalSite" TargetMode="External"/><Relationship Id="rId47" Type="http://schemas.openxmlformats.org/officeDocument/2006/relationships/hyperlink" Target="https://www.bankofchina.com/en/aboutboc/ab7/200809/t20080926_1601861.html" TargetMode="External"/><Relationship Id="rId48" Type="http://schemas.openxmlformats.org/officeDocument/2006/relationships/hyperlink" Target="https://pmc.ncbi.nlm.nih.gov/articles/PMC1127087/" TargetMode="External"/><Relationship Id="rId49" Type="http://schemas.openxmlformats.org/officeDocument/2006/relationships/hyperlink" Target="https://www.wipo.int/web-publications/world-intellectual-property-indicators-2025-highlights/en/patents-highlights.html" TargetMode="External"/><Relationship Id="rId50" Type="http://schemas.openxmlformats.org/officeDocument/2006/relationships/hyperlink" Target="https://www.census.gov/popclock/" TargetMode="External"/><Relationship Id="rId51" Type="http://schemas.openxmlformats.org/officeDocument/2006/relationships/hyperlink" Target="https://data.worldbank.org/country/russian-fede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Балансы Китая и США за 130 лет: Эквилибриум и синхронизация трёх держав</dc:title>
  <dc:subject>Китай, США, Россия; исторические балансы; сценарный расчёт 2026–2035</dc:subject>
  <dc:creator>OpenAI — аналитический материал для Соколова Сергея Леонидовича</dc:creator>
  <cp:keywords>Китай, США, Россия, Эквилибриум, синхронизация, 1896–2026</cp:keywords>
  <dc:description>Фактические ряды отделены от сценарных расчётов.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