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/>
      </w:pPr>
    </w:p>
    <w:p>
      <w:pPr>
        <w:keepNext w:val="0"/>
        <w:spacing w:before="0" w:after="40"/>
      </w:pPr>
    </w:p>
    <w:p>
      <w:pPr>
        <w:keepNext w:val="0"/>
        <w:spacing w:before="0" w:after="40"/>
      </w:pPr>
    </w:p>
    <w:p>
      <w:pPr>
        <w:keepNext w:val="0"/>
        <w:spacing w:before="0" w:after="40"/>
      </w:pPr>
    </w:p>
    <w:p>
      <w:pPr>
        <w:keepNext w:val="0"/>
        <w:spacing w:before="0" w:after="40"/>
      </w:pPr>
    </w:p>
    <w:p>
      <w:pPr>
        <w:jc w:val="center"/>
      </w:pPr>
      <w:r>
        <w:rPr>
          <w:rFonts w:ascii="Arial" w:hAnsi="Arial" w:eastAsia="Arial" w:cs="Arial"/>
          <w:b/>
          <w:color w:val="C5A253"/>
          <w:sz w:val="20"/>
        </w:rPr>
        <w:t>СТРАТЕГИЧЕСКАЯ КОНЦЕПЦИЯ</w:t>
      </w:r>
    </w:p>
    <w:p>
      <w:pPr>
        <w:spacing w:before="360" w:after="200"/>
        <w:jc w:val="center"/>
      </w:pPr>
      <w:r>
        <w:rPr>
          <w:rFonts w:ascii="Arial" w:hAnsi="Arial" w:eastAsia="Arial" w:cs="Arial"/>
          <w:b/>
          <w:color w:val="0B2545"/>
          <w:sz w:val="60"/>
        </w:rPr>
        <w:t>БАЛАНСЫ — СИСТЕМА УПРАВЛЕНИЯ</w:t>
      </w:r>
    </w:p>
    <w:p>
      <w:pPr>
        <w:jc w:val="center"/>
      </w:pPr>
      <w:r>
        <w:rPr>
          <w:rFonts w:ascii="Arial" w:hAnsi="Arial" w:eastAsia="Arial" w:cs="Arial"/>
          <w:b/>
          <w:color w:val="2E74B5"/>
          <w:sz w:val="36"/>
        </w:rPr>
        <w:t>Архитектура управления развитием России</w:t>
      </w:r>
    </w:p>
    <w:p>
      <w:pPr>
        <w:keepNext w:val="0"/>
        <w:spacing w:before="0" w:after="200"/>
      </w:pPr>
    </w:p>
    <w:p>
      <w:pPr>
        <w:jc w:val="center"/>
      </w:pPr>
      <w:r>
        <w:rPr>
          <w:rFonts w:ascii="Arial" w:hAnsi="Arial" w:eastAsia="Arial" w:cs="Arial"/>
          <w:b/>
          <w:color w:val="C5A253"/>
          <w:sz w:val="24"/>
        </w:rPr>
        <w:t>19 СИСТЕМ  ×  13 ФАЗ  ×  3 МАСШТАБА  =  741 МОДУЛЬ</w:t>
      </w:r>
    </w:p>
    <w:p>
      <w:pPr>
        <w:keepNext w:val="0"/>
        <w:spacing w:before="0" w:after="280"/>
      </w:pPr>
    </w:p>
    <w:p>
      <w:pPr>
        <w:ind w:left="920" w:right="920"/>
        <w:jc w:val="center"/>
      </w:pPr>
      <w:r>
        <w:rPr>
          <w:rFonts w:ascii="Arial" w:hAnsi="Arial" w:eastAsia="Arial" w:cs="Arial"/>
          <w:color w:val="5B6770"/>
          <w:sz w:val="25"/>
        </w:rPr>
        <w:t>От статических таблиц и разрозненных показателей — к взаимосвязанным контурам наблюдения, диагностики, решения, ресурса, исполнения и доказанного результата</w:t>
      </w:r>
    </w:p>
    <w:p>
      <w:pPr>
        <w:keepNext w:val="0"/>
        <w:spacing w:before="0" w:after="400"/>
      </w:pPr>
    </w:p>
    <w:p>
      <w:pPr>
        <w:jc w:val="center"/>
      </w:pPr>
      <w:r>
        <w:rPr>
          <w:rFonts w:ascii="Arial" w:hAnsi="Arial" w:eastAsia="Arial" w:cs="Arial"/>
          <w:b/>
          <w:color w:val="0B2545"/>
          <w:sz w:val="17"/>
        </w:rPr>
        <w:t>Интеграция: СУР • КРИСТАЛЛ 741 • каталог 260 • ЭКВИЛИБРИУМ • SUR-810 • ESG-IR 1.0</w:t>
      </w:r>
    </w:p>
    <w:p>
      <w:pPr>
        <w:keepNext w:val="0"/>
        <w:spacing w:before="0" w:after="400"/>
      </w:pPr>
    </w:p>
    <w:p>
      <w:pPr>
        <w:jc w:val="center"/>
      </w:pPr>
      <w:r>
        <w:rPr>
          <w:rFonts w:ascii="Arial" w:hAnsi="Arial" w:eastAsia="Arial" w:cs="Arial"/>
          <w:color w:val="5B6770"/>
          <w:sz w:val="18"/>
        </w:rPr>
        <w:t>Автор: Соколов Сергей Леонидович</w:t>
        <w:br/>
        <w:t>Версия 1.0  |  28 августа 2026 года</w:t>
      </w: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СТАТУС</w:t>
      </w:r>
    </w:p>
    <w:p>
      <w:pPr>
        <w:pStyle w:val="Heading1"/>
        <w:keepNext w:val="0"/>
      </w:pPr>
      <w:r>
        <w:t>Паспорт концепции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СТАТУС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Проект целевой управленческой модели. Документ не заменяет законодательство, стратегические документы, официальную статистику, бюджетный процесс или полномочия органов власти.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Параметр</w:t>
            </w:r>
          </w:p>
        </w:tc>
        <w:tc>
          <w:tcPr>
            <w:tcW w:type="dxa" w:w="72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Значение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Предмет</w:t>
            </w:r>
          </w:p>
        </w:tc>
        <w:tc>
          <w:tcPr>
            <w:tcW w:type="dxa" w:w="7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Архитектура 19 взаимосвязанных систем управления балансами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Цель</w:t>
            </w:r>
          </w:p>
        </w:tc>
        <w:tc>
          <w:tcPr>
            <w:tcW w:type="dxa" w:w="7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Связать национальные цели, фактическое состояние, решения, ресурсы и доказанный результат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Операционное ядро</w:t>
            </w:r>
          </w:p>
        </w:tc>
        <w:tc>
          <w:tcPr>
            <w:tcW w:type="dxa" w:w="7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КРИСТАЛЛ 741: 19 систем × 13 фаз × 3 масштаба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Стандартизация</w:t>
            </w:r>
          </w:p>
        </w:tc>
        <w:tc>
          <w:tcPr>
            <w:tcW w:type="dxa" w:w="7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Каталог 260: показатели, формулы, источники, пороги и правила валидации</w:t>
            </w:r>
          </w:p>
        </w:tc>
      </w:tr>
      <w:tr>
        <w:tc>
          <w:tcPr>
            <w:tcW w:type="dxa" w:w="2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Прослеживаемость</w:t>
            </w:r>
          </w:p>
        </w:tc>
        <w:tc>
          <w:tcPr>
            <w:tcW w:type="dxa" w:w="7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SUR-810: расчётный и документный след без создания параллельной валюты</w:t>
            </w:r>
          </w:p>
        </w:tc>
      </w:tr>
      <w:tr>
        <w:tc>
          <w:tcPr>
            <w:tcW w:type="dxa" w:w="2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Результат</w:t>
            </w:r>
          </w:p>
        </w:tc>
        <w:tc>
          <w:tcPr>
            <w:tcW w:type="dxa" w:w="7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ЭКВИЛИБРИУМ и ESG-IR 1.0 подтверждают изменение состояния и воздействие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ГЛАВНЫЙ ТЕЗИС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Балансы и есть система управления: через них состояние наблюдается, сравнивается с целью, получает решение и ресурс, изменяется исполнением и проверяется результатом.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ГЛАВНОЕ</w:t>
      </w:r>
    </w:p>
    <w:p>
      <w:pPr>
        <w:pStyle w:val="Heading1"/>
        <w:keepNext w:val="0"/>
      </w:pPr>
      <w:r>
        <w:t>Резюме для принятия решения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Государственное управление часто разделяет цели, показатели, бюджеты, отрасли, территории и отчётность. Балансовый подход соединяет их в единый контур: наблюдаемое состояние сравнивается с целевым коридором, причины отклонения проверяются моделью, решение получает законное полномочие и ресурс, а исполнение завершается независимой валидацией результата.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Предлагается использовать 19 балансов не как новые ведомства, а как сквозные системы координации. Каждая система имеет объект, запасы и потоки, нормативные ограничения, владельца результата, инструменты воздействия, связанные балансы и доказательный цикл.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ПРЕДЛОЖЕНИЕ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Одобрить 100-дневное проектирование и 12-месячный пилот на одной территории или межведомственной задаче с 3–5 связанными балансами.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РЕШЕНИЕ</w:t>
      </w:r>
    </w:p>
    <w:p>
      <w:pPr>
        <w:pStyle w:val="Heading1"/>
        <w:keepNext w:val="0"/>
      </w:pPr>
      <w:r>
        <w:t>Предлагаемое управленческое решение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Утвердить определение баланса как системы управления, а не статической ведомственной таблицы.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Закрепить перечень B01–B19 как проектный классификатор сквозных контуров управления.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Применить единый цикл L01–L13 и три масштаба S1–S3 для адресации решений.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Для каждого модуля утвердить паспорт: объект, цель, показатели, данные, формулы, право, ресурсы, риски, зависимости и валидация.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Связать документы, бюджетные и проектные обязательства с балансом, фазой, масштабом и результатом.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Запретить автоматическое утверждение, если не пройдены правовой, ресурсный, безопасностный или доказательный шлюзы.</w:t>
      </w:r>
    </w:p>
    <w:p>
      <w:pPr>
        <w:numPr>
          <w:ilvl w:val="0"/>
          <w:numId w:val="12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 итогам пилота принять решение: остановить, доработать или масштабировать.</w:t>
      </w: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ОПРЕДЕЛЕНИЕ</w:t>
      </w:r>
    </w:p>
    <w:p>
      <w:pPr>
        <w:pStyle w:val="Heading1"/>
        <w:keepNext w:val="0"/>
      </w:pPr>
      <w:r>
        <w:t>Что означает баланс как система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Балансы и есть система управления. Каждый баланс является живым контуром определённой области развития: наблюдает запасы, потоки, структуру и ограничения; сравнивает их с целевым коридором; объясняет причины отклонения; моделирует последствия; формирует допустимые воздействия; связывает решение с ресурсом и ответственностью; проверяет фактический эффект по обратной связи. Совокупность взаимосвязанных балансов образует управление страной как системой систем.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4750"/>
        <w:gridCol w:w="2860"/>
      </w:tblGrid>
      <w:tr>
        <w:trPr>
          <w:tblHeader w:val="true"/>
        </w:trPr>
        <w:tc>
          <w:tcPr>
            <w:tcW w:type="dxa" w:w="17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Элемент</w:t>
            </w:r>
          </w:p>
        </w:tc>
        <w:tc>
          <w:tcPr>
            <w:tcW w:type="dxa" w:w="47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  <w:tc>
          <w:tcPr>
            <w:tcW w:type="dxa" w:w="28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Контрольный вопрос</w:t>
            </w:r>
          </w:p>
        </w:tc>
      </w:tr>
      <w:tr>
        <w:tc>
          <w:tcPr>
            <w:tcW w:type="dxa" w:w="17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Объект</w:t>
            </w:r>
          </w:p>
        </w:tc>
        <w:tc>
          <w:tcPr>
            <w:tcW w:type="dxa" w:w="47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Население, территория, ресурс, отрасль, инфраструктура или институт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Что именно изменяем?</w:t>
            </w:r>
          </w:p>
        </w:tc>
      </w:tr>
      <w:tr>
        <w:tc>
          <w:tcPr>
            <w:tcW w:type="dxa" w:w="1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Состояние</w:t>
            </w:r>
          </w:p>
        </w:tc>
        <w:tc>
          <w:tcPr>
            <w:tcW w:type="dxa" w:w="4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Запасы, потоки, структура, качество и ограничения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Где находимся?</w:t>
            </w:r>
          </w:p>
        </w:tc>
      </w:tr>
      <w:tr>
        <w:tc>
          <w:tcPr>
            <w:tcW w:type="dxa" w:w="17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Целевой коридор</w:t>
            </w:r>
          </w:p>
        </w:tc>
        <w:tc>
          <w:tcPr>
            <w:tcW w:type="dxa" w:w="47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Минимум, целевое значение, максимум риска и срок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Куда движемся?</w:t>
            </w:r>
          </w:p>
        </w:tc>
      </w:tr>
      <w:tr>
        <w:tc>
          <w:tcPr>
            <w:tcW w:type="dxa" w:w="1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Наблюдение</w:t>
            </w:r>
          </w:p>
        </w:tc>
        <w:tc>
          <w:tcPr>
            <w:tcW w:type="dxa" w:w="4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Источники, события, периодичность и качество данных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Как узнаём об изменении?</w:t>
            </w:r>
          </w:p>
        </w:tc>
      </w:tr>
      <w:tr>
        <w:tc>
          <w:tcPr>
            <w:tcW w:type="dxa" w:w="17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Модель</w:t>
            </w:r>
          </w:p>
        </w:tc>
        <w:tc>
          <w:tcPr>
            <w:tcW w:type="dxa" w:w="47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Причинность, зависимости, сценарии и прогноз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Почему произошло?</w:t>
            </w:r>
          </w:p>
        </w:tc>
      </w:tr>
      <w:tr>
        <w:tc>
          <w:tcPr>
            <w:tcW w:type="dxa" w:w="1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Регулятор</w:t>
            </w:r>
          </w:p>
        </w:tc>
        <w:tc>
          <w:tcPr>
            <w:tcW w:type="dxa" w:w="4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Уполномоченный владелец решения и маршрут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Кто вправе решать?</w:t>
            </w:r>
          </w:p>
        </w:tc>
      </w:tr>
      <w:tr>
        <w:tc>
          <w:tcPr>
            <w:tcW w:type="dxa" w:w="17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Воздействие</w:t>
            </w:r>
          </w:p>
        </w:tc>
        <w:tc>
          <w:tcPr>
            <w:tcW w:type="dxa" w:w="47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Норма, проект, программа, ресурсное или организационное действие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Что будет сделано?</w:t>
            </w:r>
          </w:p>
        </w:tc>
      </w:tr>
      <w:tr>
        <w:tc>
          <w:tcPr>
            <w:tcW w:type="dxa" w:w="1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Обратная связь</w:t>
            </w:r>
          </w:p>
        </w:tc>
        <w:tc>
          <w:tcPr>
            <w:tcW w:type="dxa" w:w="4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Приёмка, независимая проверка и корректировка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Достигнут ли эффект?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ЕДИНИЦА УПРАВЛЕНИЯ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Объект + цель + наблюдение + модель + полномочие + воздействие + ресурс + исполнение + обратная связь.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СМЕНА МОДЕЛИ</w:t>
      </w:r>
    </w:p>
    <w:p>
      <w:pPr>
        <w:pStyle w:val="Heading1"/>
        <w:keepNext w:val="0"/>
      </w:pPr>
      <w:r>
        <w:t>От статического к динамическому балансу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Статический подход</w:t>
            </w:r>
          </w:p>
        </w:tc>
        <w:tc>
          <w:tcPr>
            <w:tcW w:type="dxa" w:w="468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Системный подход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Снимок на дату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Состояние, тренд, прогноз и ранний сигнал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Один показатель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Набор запасов, потоков, качества и ограничений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Отраслевая граница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Межбалансовые причинные зависимости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Отчёт о мероприятиях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Доказанное изменение состояния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Бюджет как вход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Ресурс как обязательство за результат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Среднее значение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Коридор, порог риска и распределение</w:t>
            </w:r>
          </w:p>
        </w:tc>
      </w:tr>
      <w:tr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Ручное согласование</w:t>
            </w:r>
          </w:p>
        </w:tc>
        <w:tc>
          <w:tcPr>
            <w:tcW w:type="dxa" w:w="468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Формализованные шлюзы права, ресурса и безопасности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ПРИНЦИП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Оптимизируется не отдельный показатель, а состояние системы при сохранении обязательных ограничений.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ФОРМАЛИЗАЦИЯ</w:t>
      </w:r>
    </w:p>
    <w:p>
      <w:pPr>
        <w:pStyle w:val="Heading1"/>
        <w:keepNext w:val="0"/>
      </w:pPr>
      <w:r>
        <w:t>Математическое ядро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Для баланса b состояние в момент t описывается вектором X_b(t): запасы, потоки, структура, качество и риск. Целевой коридор задаётся нижней и верхней границами [L_b(t), U_b(t)].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450"/>
        <w:gridCol w:w="4210"/>
      </w:tblGrid>
      <w:tr>
        <w:trPr>
          <w:tblHeader w:val="true"/>
        </w:trPr>
        <w:tc>
          <w:tcPr>
            <w:tcW w:type="dxa" w:w="17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Компонент</w:t>
            </w:r>
          </w:p>
        </w:tc>
        <w:tc>
          <w:tcPr>
            <w:tcW w:type="dxa" w:w="345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Рабочая формула</w:t>
            </w:r>
          </w:p>
        </w:tc>
        <w:tc>
          <w:tcPr>
            <w:tcW w:type="dxa" w:w="421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Смысл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Динамика</w:t>
            </w:r>
          </w:p>
        </w:tc>
        <w:tc>
          <w:tcPr>
            <w:tcW w:type="dxa" w:w="34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X(t+1) = X(t) + In(t) − Out(t) + ΔQ(t)</w:t>
            </w:r>
          </w:p>
        </w:tc>
        <w:tc>
          <w:tcPr>
            <w:tcW w:type="dxa" w:w="42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Запасы меняются потоками и качественным эффектом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Отклонение</w:t>
            </w:r>
          </w:p>
        </w:tc>
        <w:tc>
          <w:tcPr>
            <w:tcW w:type="dxa" w:w="3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D_b(t) = distance(X_b(t), [L_b(t), U_b(t)])</w:t>
            </w:r>
          </w:p>
        </w:tc>
        <w:tc>
          <w:tcPr>
            <w:tcW w:type="dxa" w:w="4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Нулевая дистанция означает попадание в коридор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Сценарий</w:t>
            </w:r>
          </w:p>
        </w:tc>
        <w:tc>
          <w:tcPr>
            <w:tcW w:type="dxa" w:w="34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X(t+1) = F(X(t), u(t), W(t), ε(t))</w:t>
            </w:r>
          </w:p>
        </w:tc>
        <w:tc>
          <w:tcPr>
            <w:tcW w:type="dxa" w:w="42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Решение u действует через связи W и внешние факторы ε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Интегральный эффект</w:t>
            </w:r>
          </w:p>
        </w:tc>
        <w:tc>
          <w:tcPr>
            <w:tcW w:type="dxa" w:w="3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E = Σ w_b·ΔN_b − Σ λ_r·R_r</w:t>
            </w:r>
          </w:p>
        </w:tc>
        <w:tc>
          <w:tcPr>
            <w:tcW w:type="dxa" w:w="4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Нормированный эффект минус штраф за риск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Готовность</w:t>
            </w:r>
          </w:p>
        </w:tc>
        <w:tc>
          <w:tcPr>
            <w:tcW w:type="dxa" w:w="34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R = min(LEG, DAT, RES, CYB, TRC, VAL)</w:t>
            </w:r>
          </w:p>
        </w:tc>
        <w:tc>
          <w:tcPr>
            <w:tcW w:type="dxa" w:w="42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Система готова по слабейшему обязательному шлюзу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ОГОВОРКА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Весовые коэффициенты, нормировка и функции связи утверждаются для конкретного пилота после базовой линии; они не являются нормативом сами по себе.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ОПЕРАЦИОННОЕ ЯДРО</w:t>
      </w:r>
    </w:p>
    <w:p>
      <w:pPr>
        <w:pStyle w:val="Heading1"/>
        <w:keepNext w:val="0"/>
      </w:pPr>
      <w:r>
        <w:t>КРИСТАЛЛ 741: полный адрес управления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1800"/>
        <w:gridCol w:w="5360"/>
      </w:tblGrid>
      <w:tr>
        <w:trPr>
          <w:tblHeader w:val="true"/>
        </w:trPr>
        <w:tc>
          <w:tcPr>
            <w:tcW w:type="dxa" w:w="22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Измерение</w:t>
            </w:r>
          </w:p>
        </w:tc>
        <w:tc>
          <w:tcPr>
            <w:tcW w:type="dxa" w:w="18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Коды</w:t>
            </w:r>
          </w:p>
        </w:tc>
        <w:tc>
          <w:tcPr>
            <w:tcW w:type="dxa" w:w="53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Назначение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Балансовая система</w:t>
            </w:r>
          </w:p>
        </w:tc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B01–B19</w:t>
            </w:r>
          </w:p>
        </w:tc>
        <w:tc>
          <w:tcPr>
            <w:tcW w:type="dxa" w:w="5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Что управляется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Фаза решения</w:t>
            </w:r>
          </w:p>
        </w:tc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L01–L13</w:t>
            </w:r>
          </w:p>
        </w:tc>
        <w:tc>
          <w:tcPr>
            <w:tcW w:type="dxa" w:w="5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На каком этапе находится решение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7"/>
              </w:rPr>
              <w:t>Масштаб</w:t>
            </w:r>
          </w:p>
        </w:tc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S1–S3</w:t>
            </w:r>
          </w:p>
        </w:tc>
        <w:tc>
          <w:tcPr>
            <w:tcW w:type="dxa" w:w="5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Где действуют полномочия и результат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ФОРМУЛА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19 балансов × 13 фаз × 3 масштаба = 741 адресуемый модуль.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Пример</w:t>
            </w:r>
          </w:p>
        </w:tc>
        <w:tc>
          <w:tcPr>
            <w:tcW w:type="dxa" w:w="63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Расшифровка</w:t>
            </w:r>
          </w:p>
        </w:tc>
      </w:tr>
      <w:tr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SUR-B16-L10-S1</w:t>
            </w:r>
          </w:p>
        </w:tc>
        <w:tc>
          <w:tcPr>
            <w:tcW w:type="dxa" w:w="6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Федеральная ресурсно-расчётная модель финансового баланса</w:t>
            </w:r>
          </w:p>
        </w:tc>
      </w:tr>
      <w:tr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SUR-B12-L12-S2</w:t>
            </w:r>
          </w:p>
        </w:tc>
        <w:tc>
          <w:tcPr>
            <w:tcW w:type="dxa" w:w="6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Региональная валидация результата по водному балансу</w:t>
            </w:r>
          </w:p>
        </w:tc>
      </w:tr>
      <w:tr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SUR-B06-L11-S3</w:t>
            </w:r>
          </w:p>
        </w:tc>
        <w:tc>
          <w:tcPr>
            <w:tcW w:type="dxa" w:w="6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7"/>
              </w:rPr>
              <w:t>Проектное исполнение по балансу труда и занятости</w:t>
            </w:r>
          </w:p>
        </w:tc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КЛАССИФИКАТОР</w:t>
      </w:r>
    </w:p>
    <w:p>
      <w:pPr>
        <w:pStyle w:val="Heading1"/>
        <w:keepNext w:val="0"/>
      </w:pPr>
      <w:r>
        <w:t>Девятнадцать взаимосвязанных систем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4160"/>
        <w:gridCol w:w="4300"/>
      </w:tblGrid>
      <w:tr>
        <w:trPr>
          <w:tblHeader w:val="true"/>
        </w:trPr>
        <w:tc>
          <w:tcPr>
            <w:tcW w:type="dxa" w:w="9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41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Балансовая система</w:t>
            </w:r>
          </w:p>
        </w:tc>
        <w:tc>
          <w:tcPr>
            <w:tcW w:type="dxa" w:w="4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Целевой результат</w:t>
            </w:r>
          </w:p>
        </w:tc>
      </w:tr>
      <w:tr>
        <w:tc>
          <w:tcPr>
            <w:tcW w:type="dxa" w:w="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B01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Демография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Устойчивое воспроизводство и управляемая миграция</w:t>
            </w:r>
          </w:p>
        </w:tc>
      </w:tr>
      <w:tr>
        <w:tc>
          <w:tcPr>
            <w:tcW w:type="dxa" w:w="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B02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Здоровье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Рост здоровой продолжительности жизни</w:t>
            </w:r>
          </w:p>
        </w:tc>
      </w:tr>
      <w:tr>
        <w:tc>
          <w:tcPr>
            <w:tcW w:type="dxa" w:w="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B03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Семья, доходы и социальное благополучие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Достаточность дохода и снижение уязвимости</w:t>
            </w:r>
          </w:p>
        </w:tc>
      </w:tr>
      <w:tr>
        <w:tc>
          <w:tcPr>
            <w:tcW w:type="dxa" w:w="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B04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Образование, навыки и таланты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Навыки опережают структурный спрос</w:t>
            </w:r>
          </w:p>
        </w:tc>
      </w:tr>
      <w:tr>
        <w:tc>
          <w:tcPr>
            <w:tcW w:type="dxa" w:w="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B05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Культура, ценности и общественная связанность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Рост связанности при сохранении многообразия</w:t>
            </w:r>
          </w:p>
        </w:tc>
      </w:tr>
      <w:tr>
        <w:tc>
          <w:tcPr>
            <w:tcW w:type="dxa" w:w="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B06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Труд и занятость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Достойная продуктивная занятость</w:t>
            </w:r>
          </w:p>
        </w:tc>
      </w:tr>
      <w:tr>
        <w:tc>
          <w:tcPr>
            <w:tcW w:type="dxa" w:w="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B07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Продовольствие и АПК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Доступное питание при сохранении почв и воды</w:t>
            </w:r>
          </w:p>
        </w:tc>
      </w:tr>
      <w:tr>
        <w:tc>
          <w:tcPr>
            <w:tcW w:type="dxa" w:w="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B08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Пространство и расселение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Сбалансированное расселение и связность</w:t>
            </w:r>
          </w:p>
        </w:tc>
      </w:tr>
      <w:tr>
        <w:tc>
          <w:tcPr>
            <w:tcW w:type="dxa" w:w="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B09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Жильё и коммунальная инфраструктура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Доступность, надёжность и энергоэффективность</w:t>
            </w:r>
          </w:p>
        </w:tc>
      </w:tr>
      <w:tr>
        <w:tc>
          <w:tcPr>
            <w:tcW w:type="dxa" w:w="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B10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Транспорт и логистика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Минимизация времени и издержек при устойчивости</w:t>
            </w:r>
          </w:p>
        </w:tc>
      </w:tr>
      <w:tr>
        <w:tc>
          <w:tcPr>
            <w:tcW w:type="dxa" w:w="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B11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Топливно-энергетический баланс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Надёжное и доступное энергоснабжение</w:t>
            </w:r>
          </w:p>
        </w:tc>
      </w:tr>
      <w:tr>
        <w:tc>
          <w:tcPr>
            <w:tcW w:type="dxa" w:w="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B12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Вода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Водная обеспеченность без истощения</w:t>
            </w:r>
          </w:p>
        </w:tc>
      </w:tr>
      <w:tr>
        <w:tc>
          <w:tcPr>
            <w:tcW w:type="dxa" w:w="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B13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Природный капитал и экологическая ёмкость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Воздействие не превышает способность к восстановлению</w:t>
            </w:r>
          </w:p>
        </w:tc>
      </w:tr>
      <w:tr>
        <w:tc>
          <w:tcPr>
            <w:tcW w:type="dxa" w:w="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B14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Материалы, ресурсы и циркулярность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Снижение материалоёмкости и замыкание циклов</w:t>
            </w:r>
          </w:p>
        </w:tc>
      </w:tr>
      <w:tr>
        <w:tc>
          <w:tcPr>
            <w:tcW w:type="dxa" w:w="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B15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Производство и межотраслевые связи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Устойчивый выпуск и технологическая связанность</w:t>
            </w:r>
          </w:p>
        </w:tc>
      </w:tr>
      <w:tr>
        <w:tc>
          <w:tcPr>
            <w:tcW w:type="dxa" w:w="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B16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Финансы, инвестиции и бюджет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Ресурс обеспечен и связан с результатом</w:t>
            </w:r>
          </w:p>
        </w:tc>
      </w:tr>
      <w:tr>
        <w:tc>
          <w:tcPr>
            <w:tcW w:type="dxa" w:w="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B17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Наука, технологии и инновации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Исследования превращаются в подтверждённый эффект</w:t>
            </w:r>
          </w:p>
        </w:tc>
      </w:tr>
      <w:tr>
        <w:tc>
          <w:tcPr>
            <w:tcW w:type="dxa" w:w="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B18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Цифровая среда, информация и данные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Доступные качественные данные при киберустойчивости</w:t>
            </w:r>
          </w:p>
        </w:tc>
      </w:tr>
      <w:tr>
        <w:tc>
          <w:tcPr>
            <w:tcW w:type="dxa" w:w="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B19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Безопасность, суверенитет и институциональная устойчивость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Система выдерживает угрозы без потери законности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ГРАНИЦА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B01–B19 — не новые органы власти. Это сквозные контуры координации действующих институтов.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ЖИЗНЕННЫЙ ЦИКЛ</w:t>
      </w:r>
    </w:p>
    <w:p>
      <w:pPr>
        <w:pStyle w:val="Heading1"/>
        <w:keepNext w:val="0"/>
      </w:pPr>
      <w:r>
        <w:t>Тринадцать фаз решения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50"/>
        <w:gridCol w:w="5000"/>
        <w:gridCol w:w="3410"/>
      </w:tblGrid>
      <w:tr>
        <w:trPr>
          <w:tblHeader w:val="true"/>
        </w:trPr>
        <w:tc>
          <w:tcPr>
            <w:tcW w:type="dxa" w:w="95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50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Фаза</w:t>
            </w:r>
          </w:p>
        </w:tc>
        <w:tc>
          <w:tcPr>
            <w:tcW w:type="dxa" w:w="341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Главный вопрос</w:t>
            </w:r>
          </w:p>
        </w:tc>
      </w:tr>
      <w:tr>
        <w:tc>
          <w:tcPr>
            <w:tcW w:type="dxa" w:w="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L01</w:t>
            </w:r>
          </w:p>
        </w:tc>
        <w:tc>
          <w:tcPr>
            <w:tcW w:type="dxa" w:w="5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Сигнал или потребность</w:t>
            </w:r>
          </w:p>
        </w:tc>
        <w:tc>
          <w:tcPr>
            <w:tcW w:type="dxa" w:w="34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Что изменилось?</w:t>
            </w:r>
          </w:p>
        </w:tc>
      </w:tr>
      <w:tr>
        <w:tc>
          <w:tcPr>
            <w:tcW w:type="dxa" w:w="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L02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Идентификация данных и источников</w:t>
            </w:r>
          </w:p>
        </w:tc>
        <w:tc>
          <w:tcPr>
            <w:tcW w:type="dxa" w:w="3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На чём основана оценка?</w:t>
            </w:r>
          </w:p>
        </w:tc>
      </w:tr>
      <w:tr>
        <w:tc>
          <w:tcPr>
            <w:tcW w:type="dxa" w:w="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L03</w:t>
            </w:r>
          </w:p>
        </w:tc>
        <w:tc>
          <w:tcPr>
            <w:tcW w:type="dxa" w:w="5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Проверка данных</w:t>
            </w:r>
          </w:p>
        </w:tc>
        <w:tc>
          <w:tcPr>
            <w:tcW w:type="dxa" w:w="34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Можно ли доверять данным?</w:t>
            </w:r>
          </w:p>
        </w:tc>
      </w:tr>
      <w:tr>
        <w:tc>
          <w:tcPr>
            <w:tcW w:type="dxa" w:w="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L04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Базовая линия</w:t>
            </w:r>
          </w:p>
        </w:tc>
        <w:tc>
          <w:tcPr>
            <w:tcW w:type="dxa" w:w="3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Откуда начинается изменение?</w:t>
            </w:r>
          </w:p>
        </w:tc>
      </w:tr>
      <w:tr>
        <w:tc>
          <w:tcPr>
            <w:tcW w:type="dxa" w:w="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L05</w:t>
            </w:r>
          </w:p>
        </w:tc>
        <w:tc>
          <w:tcPr>
            <w:tcW w:type="dxa" w:w="5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Балансовая и причинная диагностика</w:t>
            </w:r>
          </w:p>
        </w:tc>
        <w:tc>
          <w:tcPr>
            <w:tcW w:type="dxa" w:w="34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Почему возникло отклонение?</w:t>
            </w:r>
          </w:p>
        </w:tc>
      </w:tr>
      <w:tr>
        <w:tc>
          <w:tcPr>
            <w:tcW w:type="dxa" w:w="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L06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Прогноз и сценарии</w:t>
            </w:r>
          </w:p>
        </w:tc>
        <w:tc>
          <w:tcPr>
            <w:tcW w:type="dxa" w:w="3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Что произойдёт при вариантах решения?</w:t>
            </w:r>
          </w:p>
        </w:tc>
      </w:tr>
      <w:tr>
        <w:tc>
          <w:tcPr>
            <w:tcW w:type="dxa" w:w="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L07</w:t>
            </w:r>
          </w:p>
        </w:tc>
        <w:tc>
          <w:tcPr>
            <w:tcW w:type="dxa" w:w="5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Цель, стандарт и допустимое отклонение</w:t>
            </w:r>
          </w:p>
        </w:tc>
        <w:tc>
          <w:tcPr>
            <w:tcW w:type="dxa" w:w="34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Каков результат и предел риска?</w:t>
            </w:r>
          </w:p>
        </w:tc>
      </w:tr>
      <w:tr>
        <w:tc>
          <w:tcPr>
            <w:tcW w:type="dxa" w:w="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L08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Варианты решения</w:t>
            </w:r>
          </w:p>
        </w:tc>
        <w:tc>
          <w:tcPr>
            <w:tcW w:type="dxa" w:w="3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Какие альтернативы доступны?</w:t>
            </w:r>
          </w:p>
        </w:tc>
      </w:tr>
      <w:tr>
        <w:tc>
          <w:tcPr>
            <w:tcW w:type="dxa" w:w="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L09</w:t>
            </w:r>
          </w:p>
        </w:tc>
        <w:tc>
          <w:tcPr>
            <w:tcW w:type="dxa" w:w="5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Правовая экспертиза и безопасность</w:t>
            </w:r>
          </w:p>
        </w:tc>
        <w:tc>
          <w:tcPr>
            <w:tcW w:type="dxa" w:w="34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Допустимо ли решение?</w:t>
            </w:r>
          </w:p>
        </w:tc>
      </w:tr>
      <w:tr>
        <w:tc>
          <w:tcPr>
            <w:tcW w:type="dxa" w:w="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L10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Ресурсная и расчётная модель</w:t>
            </w:r>
          </w:p>
        </w:tc>
        <w:tc>
          <w:tcPr>
            <w:tcW w:type="dxa" w:w="3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Чем обеспечено решение?</w:t>
            </w:r>
          </w:p>
        </w:tc>
      </w:tr>
      <w:tr>
        <w:tc>
          <w:tcPr>
            <w:tcW w:type="dxa" w:w="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L11</w:t>
            </w:r>
          </w:p>
        </w:tc>
        <w:tc>
          <w:tcPr>
            <w:tcW w:type="dxa" w:w="5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Исполнение и координация</w:t>
            </w:r>
          </w:p>
        </w:tc>
        <w:tc>
          <w:tcPr>
            <w:tcW w:type="dxa" w:w="34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Кто, что и когда выполняет?</w:t>
            </w:r>
          </w:p>
        </w:tc>
      </w:tr>
      <w:tr>
        <w:tc>
          <w:tcPr>
            <w:tcW w:type="dxa" w:w="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L12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Мониторинг, приёмка и валидация</w:t>
            </w:r>
          </w:p>
        </w:tc>
        <w:tc>
          <w:tcPr>
            <w:tcW w:type="dxa" w:w="3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Достигнут ли эффект?</w:t>
            </w:r>
          </w:p>
        </w:tc>
      </w:tr>
      <w:tr>
        <w:tc>
          <w:tcPr>
            <w:tcW w:type="dxa" w:w="95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5"/>
              </w:rPr>
              <w:t>L13</w:t>
            </w:r>
          </w:p>
        </w:tc>
        <w:tc>
          <w:tcPr>
            <w:tcW w:type="dxa" w:w="5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Корректировка, масштабирование или закрытие</w:t>
            </w:r>
          </w:p>
        </w:tc>
        <w:tc>
          <w:tcPr>
            <w:tcW w:type="dxa" w:w="341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Что изменить в следующем цикле?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ЗАМКНУТЫЙ ЦИКЛ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Результат L12 и знания L13 становятся входом для нового сигнала L01.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МАСШТАБ</w:t>
      </w:r>
    </w:p>
    <w:p>
      <w:pPr>
        <w:pStyle w:val="Heading1"/>
        <w:keepNext w:val="0"/>
      </w:pPr>
      <w:r>
        <w:t>Три масштаба управления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3300"/>
        <w:gridCol w:w="4960"/>
      </w:tblGrid>
      <w:tr>
        <w:trPr>
          <w:tblHeader w:val="true"/>
        </w:trPr>
        <w:tc>
          <w:tcPr>
            <w:tcW w:type="dxa" w:w="11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3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Масштаб</w:t>
            </w:r>
          </w:p>
        </w:tc>
        <w:tc>
          <w:tcPr>
            <w:tcW w:type="dxa" w:w="49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Типовое решение</w:t>
            </w:r>
          </w:p>
        </w:tc>
      </w:tr>
      <w:tr>
        <w:tc>
          <w:tcPr>
            <w:tcW w:type="dxa" w:w="1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S1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Национальный / федеральный</w:t>
            </w:r>
          </w:p>
        </w:tc>
        <w:tc>
          <w:tcPr>
            <w:tcW w:type="dxa" w:w="4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Национальная цель, межотраслевой баланс, федеральный ресурс</w:t>
            </w:r>
          </w:p>
        </w:tc>
      </w:tr>
      <w:tr>
        <w:tc>
          <w:tcPr>
            <w:tcW w:type="dxa" w:w="1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S2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Региональный / межрегиональный</w:t>
            </w:r>
          </w:p>
        </w:tc>
        <w:tc>
          <w:tcPr>
            <w:tcW w:type="dxa" w:w="49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Территориальный сценарий и межведомственный портфель</w:t>
            </w:r>
          </w:p>
        </w:tc>
      </w:tr>
      <w:tr>
        <w:tc>
          <w:tcPr>
            <w:tcW w:type="dxa" w:w="11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S3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Муниципальный / объектовый / проектный</w:t>
            </w:r>
          </w:p>
        </w:tc>
        <w:tc>
          <w:tcPr>
            <w:tcW w:type="dxa" w:w="49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Конкретное исполнение, приёмка и подтверждённый эффект</w:t>
            </w:r>
          </w:p>
        </w:tc>
      </w:tr>
    </w:tbl>
    <w:p>
      <w:pPr>
        <w:keepNext w:val="0"/>
        <w:spacing w:before="0" w:after="80"/>
      </w:pP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Масштабы не образуют административную иерархию данных. Они разделяют полномочия, детализацию, частоту наблюдения и ответственность за результат, сохраняя общий сквозной код.</w:t>
      </w: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СИСТЕМА СИСТЕМ</w:t>
      </w:r>
    </w:p>
    <w:p>
      <w:pPr>
        <w:pStyle w:val="Heading1"/>
        <w:keepNext w:val="0"/>
      </w:pPr>
      <w:r>
        <w:t>Межбалансовая связанность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Любое значимое решение изменяет несколько балансов одновременно. Поэтому оптимизация одного контура допустима только после проверки прямых, косвенных и отложенных эффектов в связанных системах.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1700"/>
        <w:gridCol w:w="3900"/>
        <w:gridCol w:w="2060"/>
      </w:tblGrid>
      <w:tr>
        <w:trPr>
          <w:tblHeader w:val="true"/>
        </w:trPr>
        <w:tc>
          <w:tcPr>
            <w:tcW w:type="dxa" w:w="17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Решение</w:t>
            </w:r>
          </w:p>
        </w:tc>
        <w:tc>
          <w:tcPr>
            <w:tcW w:type="dxa" w:w="17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Прямой эффект</w:t>
            </w:r>
          </w:p>
        </w:tc>
        <w:tc>
          <w:tcPr>
            <w:tcW w:type="dxa" w:w="39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Связанные эффекты</w:t>
            </w:r>
          </w:p>
        </w:tc>
        <w:tc>
          <w:tcPr>
            <w:tcW w:type="dxa" w:w="20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Риск локальной оптимизации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Новое производство</w:t>
            </w:r>
          </w:p>
        </w:tc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B15 выпуск</w:t>
            </w:r>
          </w:p>
        </w:tc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B06 труд; B11 энергия; B12 вода; B13 экология; B16 инвестиции</w:t>
            </w:r>
          </w:p>
        </w:tc>
        <w:tc>
          <w:tcPr>
            <w:tcW w:type="dxa" w:w="2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Рост выпуска при дефиците ресурса или ущербе среде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Жилищное строительство</w:t>
            </w:r>
          </w:p>
        </w:tc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B09 жильё</w:t>
            </w:r>
          </w:p>
        </w:tc>
        <w:tc>
          <w:tcPr>
            <w:tcW w:type="dxa" w:w="3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B08 расселение; B10 транспорт; B11 энергия; B12 вода</w:t>
            </w:r>
          </w:p>
        </w:tc>
        <w:tc>
          <w:tcPr>
            <w:tcW w:type="dxa" w:w="2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Квартиры без доступности и коммунальной мощности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Цифровая платформа</w:t>
            </w:r>
          </w:p>
        </w:tc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B18 данные</w:t>
            </w:r>
          </w:p>
        </w:tc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B04 навыки; B17 технологии; B19 безопасность</w:t>
            </w:r>
          </w:p>
        </w:tc>
        <w:tc>
          <w:tcPr>
            <w:tcW w:type="dxa" w:w="2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Сервис без доверия, качества данных или устойчивости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Модернизация АПК</w:t>
            </w:r>
          </w:p>
        </w:tc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B07 продовольствие</w:t>
            </w:r>
          </w:p>
        </w:tc>
        <w:tc>
          <w:tcPr>
            <w:tcW w:type="dxa" w:w="3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B06 труд; B12 вода; B13 экология; B14 материалы</w:t>
            </w:r>
          </w:p>
        </w:tc>
        <w:tc>
          <w:tcPr>
            <w:tcW w:type="dxa" w:w="2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Урожайность при деградации почв и водном стрессе</w:t>
            </w:r>
          </w:p>
        </w:tc>
      </w:tr>
      <w:tr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Бюджетная мера</w:t>
            </w:r>
          </w:p>
        </w:tc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B16 финансы</w:t>
            </w:r>
          </w:p>
        </w:tc>
        <w:tc>
          <w:tcPr>
            <w:tcW w:type="dxa" w:w="3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Все балансы через ресурс</w:t>
            </w:r>
          </w:p>
        </w:tc>
        <w:tc>
          <w:tcPr>
            <w:tcW w:type="dxa" w:w="2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3"/>
              </w:rPr>
              <w:t>Освоение средств без изменения состояния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ПРАВИЛО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Решение не считается сбалансированным, если улучшает один показатель ценой выхода связанного баланса за обязательный предел.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B01. Демография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Население, возрастная структура, миграция и воспроизводство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Устойчивое воспроизводство и управляемая миграция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B02, B03, B04, B06, B08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демография изменит связанные контуры B02, B03, B04, B06, B08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B02. Здоровье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Здоровье населения, доступность помощи и профилактика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Рост здоровой продолжительности жизни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B01, B03, B06, B07, B13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здоровье изменит связанные контуры B01, B03, B06, B07, B13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B03. Семья, доходы и социальное благополучие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Домохозяйства, доходы, расходы, риски бедности и поддержка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Достаточность дохода и снижение уязвимости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B01, B02, B06, B09, B16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семья, доходы и социальное благополучие изменит связанные контуры B01, B02, B06, B09, B16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B04. Образование, навыки и таланты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Человеческий капитал, доступ к знаниям и соответствие навыков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Навыки опережают структурный спрос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B01, B05, B06, B17, B18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образование, навыки и таланты изменит связанные контуры B01, B05, B06, B17, B18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B05. Культура, ценности и общественная связанность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Культурное наследие, доверие, идентичность и участие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Рост связанности при сохранении многообразия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B01, B03, B04, B08, B19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культура, ценности и общественная связанность изменит связанные контуры B01, B03, B04, B08, B19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B06. Труд и занятость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Рабочая сила, производительность, качество занятости и мобильность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Достойная продуктивная занятость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B01, B03, B04, B15, B17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труд и занятость изменит связанные контуры B01, B03, B04, B15, B17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B07. Продовольствие и АПК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Продовольственная безопасность, агропроизводство и цепочки поставок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Доступное питание при сохранении почв и воды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B02, B08, B12, B13, B15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продовольствие и апк изменит связанные контуры B02, B08, B12, B13, B15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B08. Пространство и расселение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Территориальная структура, доступность центров и плотность функций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Сбалансированное расселение и связность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B01, B09, B10, B12, B13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пространство и расселение изменит связанные контуры B01, B09, B10, B12, B13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B09. Жильё и коммунальная инфраструктура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Жилищный фонд, коммунальные мощности и качество среды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Доступность, надёжность и энергоэффективность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B03, B08, B10, B11, B12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жильё и коммунальная инфраструктура изменит связанные контуры B03, B08, B10, B11, B12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B10. Транспорт и логистика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Перемещение людей и грузов, пропускная способность и доступность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Минимизация времени и издержек при устойчивости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B06, B08, B09, B11, B15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транспорт и логистика изменит связанные контуры B06, B08, B09, B11, B15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B11. Топливно-энергетический баланс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Генерация, сети, потребление, резерв и выбросы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Надёжное и доступное энергоснабжение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B09, B10, B13, B14, B15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топливно-энергетический баланс изменит связанные контуры B09, B10, B13, B14, B15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B12. Вода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Запасы, забор, качество, потери, водоотведение и экосистемные потребности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Водная обеспеченность без истощения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B07, B08, B09, B13, B15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вода изменит связанные контуры B07, B08, B09, B13, B15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B13. Природный капитал и экологическая ёмкость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Экосистемы, биоразнообразие, загрязнение и пределы нагрузки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Воздействие не превышает способность к восстановлению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B02, B07, B11, B12, B14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природный капитал и экологическая ёмкость изменит связанные контуры B02, B07, B11, B12, B14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B14. Материалы, ресурсы и циркулярность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Сырьё, материалы, отходы, вторичные ресурсы и критические запасы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Снижение материалоёмкости и замыкание циклов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B11, B13, B15, B16, B17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материалы, ресурсы и циркулярность изменит связанные контуры B11, B13, B15, B16, B17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B15. Производство и межотраслевые связи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Выпуск, мощности, кооперация, импортозависимость и цепочки стоимости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Устойчивый выпуск и технологическая связанность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B06, B10, B11, B14, B16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производство и межотраслевые связи изменит связанные контуры B06, B10, B11, B14, B16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B16. Финансы, инвестиции и бюджет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Доходы, расходы, капитал, долг, ликвидность и инвестиционные потоки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Ресурс обеспечен и связан с результатом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B03, B11, B14, B15, B17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финансы, инвестиции и бюджет изменит связанные контуры B03, B11, B14, B15, B17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B17. Наука, технологии и инновации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Знания, исследования, разработки, трансфер и технологический суверенитет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Исследования превращаются в подтверждённый эффект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B04, B06, B14, B15, B18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наука, технологии и инновации изменит связанные контуры B04, B06, B14, B15, B18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B18. Цифровая среда, информация и данные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Данные, вычисления, связь, платформы, модели и доверие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Доступные качественные данные при киберустойчивости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B04, B10, B15, B17, B19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цифровая среда, информация и данные изменит связанные контуры B04, B10, B15, B17, B19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ПАСПОРТ БАЛАНСА</w:t>
      </w:r>
    </w:p>
    <w:p>
      <w:pPr>
        <w:pStyle w:val="Heading1"/>
        <w:keepNext w:val="0"/>
      </w:pPr>
      <w:r>
        <w:t>B19. Безопасность, суверенитет и институциональная устойчивость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70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Управляемый объект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Риски, резервы, право, доверие институтов и непрерывность управления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Система выдерживает угрозы без потери законности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Минимальные измерения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Запас / охват; входящие и исходящие потоки; качество; доступность; устойчивость; риск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Типовые воздействия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Норма; программа; проект; инфраструктурное, организационное или ресурсное решение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Связанные балансы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B01, B05, B11, B16, B18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Доказательство результата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относительно базовой линии + источник + методика + независимый валидатор</w:t>
            </w:r>
          </w:p>
        </w:tc>
      </w:tr>
    </w:tbl>
    <w:p>
      <w:pPr>
        <w:keepNext w:val="0"/>
        <w:spacing w:before="0" w:after="80"/>
      </w:pP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Состояние оценивается не одной цифрой, а сочетанием уровня, распределения, динамики и риска.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Решение проходит фазы L01–L13 и получает масштаб S1, S2 или S3.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Пороговые значения и формулы берутся из каталога 260 либо утверждаются для пилота.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Приёмка требует доказательства изменения состояния, а не только отчёта о выполненных мероприятиях.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КОНТРОЛЬНЫЙ ВОПРОС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Как решение по безопасность, суверенитет и институциональная устойчивость изменит связанные контуры B01, B05, B11, B16, B18 и не выведет их за обязательные пределы?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СТАНДАРТИЗАЦИЯ</w:t>
      </w:r>
    </w:p>
    <w:p>
      <w:pPr>
        <w:pStyle w:val="Heading1"/>
        <w:keepNext w:val="0"/>
      </w:pPr>
      <w:r>
        <w:t>Каталог 260: стандарты измерения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КРИСТАЛЛ 741 отвечает на вопрос «где находится управленческое действие», а каталог 260 — «как оно измеряется и проверяется». Число 260 является проектной ёмкостью каталога, а не требованием одномоментно применять все показатели.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7360"/>
      </w:tblGrid>
      <w:tr>
        <w:trPr>
          <w:tblHeader w:val="true"/>
        </w:trPr>
        <w:tc>
          <w:tcPr>
            <w:tcW w:type="dxa" w:w="20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Группа</w:t>
            </w:r>
          </w:p>
        </w:tc>
        <w:tc>
          <w:tcPr>
            <w:tcW w:type="dxa" w:w="73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Обязательные поля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Идентификация</w:t>
            </w:r>
          </w:p>
        </w:tc>
        <w:tc>
          <w:tcPr>
            <w:tcW w:type="dxa" w:w="7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Код, наименование, баланс, версия, период действия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Определение</w:t>
            </w:r>
          </w:p>
        </w:tc>
        <w:tc>
          <w:tcPr>
            <w:tcW w:type="dxa" w:w="7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Смысл показателя, единица, периметр, включения и исключения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Формула</w:t>
            </w:r>
          </w:p>
        </w:tc>
        <w:tc>
          <w:tcPr>
            <w:tcW w:type="dxa" w:w="7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Числитель, знаменатель, преобразования, округление и неопределённость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Источник</w:t>
            </w:r>
          </w:p>
        </w:tc>
        <w:tc>
          <w:tcPr>
            <w:tcW w:type="dxa" w:w="7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Владелец, первичная система, частота и качество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Коридор</w:t>
            </w:r>
          </w:p>
        </w:tc>
        <w:tc>
          <w:tcPr>
            <w:tcW w:type="dxa" w:w="7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Минимум, цель, максимум риска, срок и основание</w:t>
            </w:r>
          </w:p>
        </w:tc>
      </w:tr>
      <w:tr>
        <w:tc>
          <w:tcPr>
            <w:tcW w:type="dxa" w:w="2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Связи</w:t>
            </w:r>
          </w:p>
        </w:tc>
        <w:tc>
          <w:tcPr>
            <w:tcW w:type="dxa" w:w="73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Зависимые показатели и межбалансовые коэффициенты</w:t>
            </w:r>
          </w:p>
        </w:tc>
      </w:tr>
      <w:tr>
        <w:tc>
          <w:tcPr>
            <w:tcW w:type="dxa" w:w="2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Валидация</w:t>
            </w:r>
          </w:p>
        </w:tc>
        <w:tc>
          <w:tcPr>
            <w:tcW w:type="dxa" w:w="73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Метод проверки, доказательства, эксперт и критерий принятия</w:t>
            </w:r>
          </w:p>
        </w:tc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АНАЛИТИКА</w:t>
      </w:r>
    </w:p>
    <w:p>
      <w:pPr>
        <w:pStyle w:val="Heading1"/>
        <w:keepNext w:val="0"/>
      </w:pPr>
      <w:r>
        <w:t>ЭКВИЛИБРИУМ: наблюдение и сценарии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собирает сигналы и подтверждённые данные по B01–B19;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формирует базовую линию и показывает отклонение от коридора;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оценивает межбалансовые зависимости и задержки;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сравнивает сценарии «без решения» и «с решением»;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показывает ограничения, неопределённость и ранние предупреждения;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после исполнения сравнивает прогноз с фактом и обновляет модель.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РОЛЬ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ЭКВИЛИБРИУМ предлагает проверяемые варианты и последствия, но не принимает юридически значимое решение вместо уполномоченного лица.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ПРОСЛЕЖИВАЕМОСТЬ</w:t>
      </w:r>
    </w:p>
    <w:p>
      <w:pPr>
        <w:pStyle w:val="Heading1"/>
        <w:keepNext w:val="0"/>
      </w:pPr>
      <w:r>
        <w:t>SUR-810: ресурсный и расчётный след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SUR-810 связывает решение с источником ресурса, расчётной моделью, обязательством, исполнением и подтверждённым результатом. В пилоте 810 используется как код проекта и реестра прослеживаемости, а не как денежная единица или параллельная валюта.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Связь</w:t>
            </w:r>
          </w:p>
        </w:tc>
        <w:tc>
          <w:tcPr>
            <w:tcW w:type="dxa" w:w="67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Что фиксируется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Решение → ресурс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Правовое основание, лимит, источник, срок и владелец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Ресурс → обязательство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Получатель, назначение, этапы и контрольные точки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Обязательство → исполнение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Факты, документы, платежи в законной валюте и результаты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Исполнение → баланс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Изменение показателя относительно базовой линии</w:t>
            </w:r>
          </w:p>
        </w:tc>
      </w:tr>
      <w:tr>
        <w:tc>
          <w:tcPr>
            <w:tcW w:type="dxa" w:w="2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Баланс → новый цикл</w:t>
            </w:r>
          </w:p>
        </w:tc>
        <w:tc>
          <w:tcPr>
            <w:tcW w:type="dxa" w:w="6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Корректировка модели, решения и распределения ресурсов</w:t>
            </w:r>
          </w:p>
        </w:tc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ВАЛИДАЦИЯ</w:t>
      </w:r>
    </w:p>
    <w:p>
      <w:pPr>
        <w:pStyle w:val="Heading1"/>
        <w:keepNext w:val="0"/>
      </w:pPr>
      <w:r>
        <w:t>ESG-IR 1.0: доказательство воздействия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300"/>
        <w:gridCol w:w="4560"/>
      </w:tblGrid>
      <w:tr>
        <w:trPr>
          <w:tblHeader w:val="true"/>
        </w:trPr>
        <w:tc>
          <w:tcPr>
            <w:tcW w:type="dxa" w:w="15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Уровень</w:t>
            </w:r>
          </w:p>
        </w:tc>
        <w:tc>
          <w:tcPr>
            <w:tcW w:type="dxa" w:w="3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Вопрос</w:t>
            </w:r>
          </w:p>
        </w:tc>
        <w:tc>
          <w:tcPr>
            <w:tcW w:type="dxa" w:w="45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Доказательство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Вход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Что было выделено?</w:t>
            </w:r>
          </w:p>
        </w:tc>
        <w:tc>
          <w:tcPr>
            <w:tcW w:type="dxa" w:w="4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Ресурс, полномочие, исходные данные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Деятельность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Что выполнено?</w:t>
            </w:r>
          </w:p>
        </w:tc>
        <w:tc>
          <w:tcPr>
            <w:tcW w:type="dxa" w:w="4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События, документы, акты, журнал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Выход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Что создано?</w:t>
            </w:r>
          </w:p>
        </w:tc>
        <w:tc>
          <w:tcPr>
            <w:tcW w:type="dxa" w:w="4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Объект, услуга, мощность, продукт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Результат</w:t>
            </w:r>
          </w:p>
        </w:tc>
        <w:tc>
          <w:tcPr>
            <w:tcW w:type="dxa" w:w="3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Что изменилось у получателя?</w:t>
            </w:r>
          </w:p>
        </w:tc>
        <w:tc>
          <w:tcPr>
            <w:tcW w:type="dxa" w:w="4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Показатель до/после и контрольный сценарий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Воздействие</w:t>
            </w:r>
          </w:p>
        </w:tc>
        <w:tc>
          <w:tcPr>
            <w:tcW w:type="dxa" w:w="3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Как изменился баланс?</w:t>
            </w:r>
          </w:p>
        </w:tc>
        <w:tc>
          <w:tcPr>
            <w:tcW w:type="dxa" w:w="4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Нормированный эффект, вклад и устойчивость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ПРИНЦИП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Освоение бюджета, число мероприятий и выпуск отчёта не равны доказанному воздействию.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ЦИФРОВОЙ КОНТУР</w:t>
      </w:r>
    </w:p>
    <w:p>
      <w:pPr>
        <w:pStyle w:val="Heading1"/>
        <w:keepNext w:val="0"/>
      </w:pPr>
      <w:r>
        <w:t>Информационная архитектура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560"/>
        <w:gridCol w:w="3000"/>
      </w:tblGrid>
      <w:tr>
        <w:trPr>
          <w:tblHeader w:val="true"/>
        </w:trPr>
        <w:tc>
          <w:tcPr>
            <w:tcW w:type="dxa" w:w="18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Слой</w:t>
            </w:r>
          </w:p>
        </w:tc>
        <w:tc>
          <w:tcPr>
            <w:tcW w:type="dxa" w:w="45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Назначение</w:t>
            </w:r>
          </w:p>
        </w:tc>
        <w:tc>
          <w:tcPr>
            <w:tcW w:type="dxa" w:w="30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Ключевой объект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Нормативный</w:t>
            </w:r>
          </w:p>
        </w:tc>
        <w:tc>
          <w:tcPr>
            <w:tcW w:type="dxa" w:w="4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Полномочия, ограничения и стандарты</w:t>
            </w:r>
          </w:p>
        </w:tc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Правило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Семантический</w:t>
            </w:r>
          </w:p>
        </w:tc>
        <w:tc>
          <w:tcPr>
            <w:tcW w:type="dxa" w:w="4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B01–B19, L01–L13, S1–S3, каталог 260</w:t>
            </w:r>
          </w:p>
        </w:tc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Классификатор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Данных</w:t>
            </w:r>
          </w:p>
        </w:tc>
        <w:tc>
          <w:tcPr>
            <w:tcW w:type="dxa" w:w="4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Источники, качество, происхождение и версии</w:t>
            </w:r>
          </w:p>
        </w:tc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Набор данных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Модельный</w:t>
            </w:r>
          </w:p>
        </w:tc>
        <w:tc>
          <w:tcPr>
            <w:tcW w:type="dxa" w:w="4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Диагностика, зависимости, сценарии и прогноз</w:t>
            </w:r>
          </w:p>
        </w:tc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Модель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Документный</w:t>
            </w:r>
          </w:p>
        </w:tc>
        <w:tc>
          <w:tcPr>
            <w:tcW w:type="dxa" w:w="4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Паспорта, решения, подписи и статусы</w:t>
            </w:r>
          </w:p>
        </w:tc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Авторитетная запись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Процессный</w:t>
            </w:r>
          </w:p>
        </w:tc>
        <w:tc>
          <w:tcPr>
            <w:tcW w:type="dxa" w:w="4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Маршруты, роли, сроки и контроль</w:t>
            </w:r>
          </w:p>
        </w:tc>
        <w:tc>
          <w:tcPr>
            <w:tcW w:type="dxa" w:w="3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Событие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Доказательный</w:t>
            </w:r>
          </w:p>
        </w:tc>
        <w:tc>
          <w:tcPr>
            <w:tcW w:type="dxa" w:w="4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Исполнение, приёмка, результат и архив</w:t>
            </w:r>
          </w:p>
        </w:tc>
        <w:tc>
          <w:tcPr>
            <w:tcW w:type="dxa" w:w="3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Досье результата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НЕ МОНОЛИТ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СУР требует общего адреса, паспортов, событий и правил доверия между системами, но не одной централизованной базы для всех данных.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ПАМЯТЬ И ПРЕЕМСТВЕННОСТЬ</w:t>
      </w:r>
    </w:p>
    <w:p>
      <w:pPr>
        <w:pStyle w:val="Heading1"/>
        <w:keepNext w:val="0"/>
      </w:pPr>
      <w:r>
        <w:t>Интеллект Архива сохранения наследия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Архив сохранения наследия образует долговременную память балансовой системы. Он сохраняет не только итоговые документы, но и контекст решения: состояние баланса, источники, версии модели, полномочия, альтернативы, ресурс, исполнение, доказательства и последствия. Интеллект Архива возвращает эту память в новый цикл как проверяемый исторический контекст.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300"/>
        <w:gridCol w:w="3260"/>
      </w:tblGrid>
      <w:tr>
        <w:trPr>
          <w:tblHeader w:val="true"/>
        </w:trPr>
        <w:tc>
          <w:tcPr>
            <w:tcW w:type="dxa" w:w="18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Функция</w:t>
            </w:r>
          </w:p>
        </w:tc>
        <w:tc>
          <w:tcPr>
            <w:tcW w:type="dxa" w:w="4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Что сохраняется или формируется</w:t>
            </w:r>
          </w:p>
        </w:tc>
        <w:tc>
          <w:tcPr>
            <w:tcW w:type="dxa" w:w="32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Связь с управлением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4"/>
              </w:rPr>
              <w:t>Наследие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Культурные, научные, производственные, территориальные и институциональные объекты</w:t>
            </w:r>
          </w:p>
        </w:tc>
        <w:tc>
          <w:tcPr>
            <w:tcW w:type="dxa" w:w="3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B05 как профильный баланс; контекст для B01–B19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Авторитетная запись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Оригинал, подпись, дата, происхождение, права доступа и контрольная сумма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Неизменяемое основание решения и доказательства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Версионная память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Базовые линии, показатели, модели, сценарии, решения и фактические результаты</w:t>
            </w:r>
          </w:p>
        </w:tc>
        <w:tc>
          <w:tcPr>
            <w:tcW w:type="dxa" w:w="3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Сопоставимость циклов L01–L13 во времени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Семантическое связывание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Лица, места, события, объекты, балансы, фазы и масштабы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Поиск связей и восстановление причинного контекста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Интеллект Архива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Сходные случаи, долговременные тенденции, разрывы преемственности и риски утраты</w:t>
            </w:r>
          </w:p>
        </w:tc>
        <w:tc>
          <w:tcPr>
            <w:tcW w:type="dxa" w:w="3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Подсказка для диагностики и сценариев ЭКВИЛИБРИУМА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Возврат в цикл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Архивная справка с цитируемыми источниками и уровнем уверенности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Входит в досье решения SUR-810 и проверку ESG-IR 1.0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ПРАВИЛО ДОВЕРИЯ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Интеллект Архива не изменяет первоисточник и не принимает решение. Он обязан отделять факт от интерпретации, показывать происхождение, версию, права доступа и неопределённость.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ОРГАНИЗАЦИЯ</w:t>
      </w:r>
    </w:p>
    <w:p>
      <w:pPr>
        <w:pStyle w:val="Heading1"/>
        <w:keepNext w:val="0"/>
      </w:pPr>
      <w:r>
        <w:t>Управление, роли и ответственность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300"/>
        <w:gridCol w:w="3260"/>
      </w:tblGrid>
      <w:tr>
        <w:trPr>
          <w:tblHeader w:val="true"/>
        </w:trPr>
        <w:tc>
          <w:tcPr>
            <w:tcW w:type="dxa" w:w="18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Роль</w:t>
            </w:r>
          </w:p>
        </w:tc>
        <w:tc>
          <w:tcPr>
            <w:tcW w:type="dxa" w:w="4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Ответственность</w:t>
            </w:r>
          </w:p>
        </w:tc>
        <w:tc>
          <w:tcPr>
            <w:tcW w:type="dxa" w:w="32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Не может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Владелец баланса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Целевой коридор, зависимости и результат</w:t>
            </w:r>
          </w:p>
        </w:tc>
        <w:tc>
          <w:tcPr>
            <w:tcW w:type="dxa" w:w="3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Подменять полномочия органов власти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Владелец данных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Источник, качество, частота и происхождение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Скрывать ограничения данных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Владелец модели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Формулы, сценарии, версии и неопределённость</w:t>
            </w:r>
          </w:p>
        </w:tc>
        <w:tc>
          <w:tcPr>
            <w:tcW w:type="dxa" w:w="3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Представлять прогноз как факт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Утверждающий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Законное решение по конкретной версии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Утверждать без ресурса и проверки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Исполнитель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Действие, срок, ресурс и первичные доказательства</w:t>
            </w:r>
          </w:p>
        </w:tc>
        <w:tc>
          <w:tcPr>
            <w:tcW w:type="dxa" w:w="3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Принимать собственный результат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Валидатор</w:t>
            </w:r>
          </w:p>
        </w:tc>
        <w:tc>
          <w:tcPr>
            <w:tcW w:type="dxa" w:w="4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Независимая проверка результата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Изменять первичные данные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Оператор СУР</w:t>
            </w:r>
          </w:p>
        </w:tc>
        <w:tc>
          <w:tcPr>
            <w:tcW w:type="dxa" w:w="4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Интеграция, маршруты, реестры и SLA</w:t>
            </w:r>
          </w:p>
        </w:tc>
        <w:tc>
          <w:tcPr>
            <w:tcW w:type="dxa" w:w="32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Принимать содержательные решения</w:t>
            </w:r>
          </w:p>
        </w:tc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КОНТРОЛЬ</w:t>
      </w:r>
    </w:p>
    <w:p>
      <w:pPr>
        <w:pStyle w:val="Heading1"/>
        <w:keepNext w:val="0"/>
      </w:pPr>
      <w:r>
        <w:t>Шлюзы принятия решения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4000"/>
        <w:gridCol w:w="4160"/>
      </w:tblGrid>
      <w:tr>
        <w:trPr>
          <w:tblHeader w:val="true"/>
        </w:trPr>
        <w:tc>
          <w:tcPr>
            <w:tcW w:type="dxa" w:w="12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Шлюз</w:t>
            </w:r>
          </w:p>
        </w:tc>
        <w:tc>
          <w:tcPr>
            <w:tcW w:type="dxa" w:w="40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41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Стоп-условие</w:t>
            </w:r>
          </w:p>
        </w:tc>
      </w:tr>
      <w:tr>
        <w:tc>
          <w:tcPr>
            <w:tcW w:type="dxa" w:w="1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LEG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 и полномочия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Нет правового основания или компетенции</w:t>
            </w:r>
          </w:p>
        </w:tc>
      </w:tr>
      <w:tr>
        <w:tc>
          <w:tcPr>
            <w:tcW w:type="dxa" w:w="1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DAT</w:t>
            </w:r>
          </w:p>
        </w:tc>
        <w:tc>
          <w:tcPr>
            <w:tcW w:type="dxa" w:w="4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Данные и происхождение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Источник не подтверждён или качество ниже порога</w:t>
            </w:r>
          </w:p>
        </w:tc>
      </w:tr>
      <w:tr>
        <w:tc>
          <w:tcPr>
            <w:tcW w:type="dxa" w:w="1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MOD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Модель и сценарии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 раскрыты допущения или чувствительность</w:t>
            </w:r>
          </w:p>
        </w:tc>
      </w:tr>
      <w:tr>
        <w:tc>
          <w:tcPr>
            <w:tcW w:type="dxa" w:w="1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RES</w:t>
            </w:r>
          </w:p>
        </w:tc>
        <w:tc>
          <w:tcPr>
            <w:tcW w:type="dxa" w:w="4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Ресурс и резерв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Обязательство не обеспечено</w:t>
            </w:r>
          </w:p>
        </w:tc>
      </w:tr>
      <w:tr>
        <w:tc>
          <w:tcPr>
            <w:tcW w:type="dxa" w:w="1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CYB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Безопасность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Нарушены доступ, целостность или устойчивость</w:t>
            </w:r>
          </w:p>
        </w:tc>
      </w:tr>
      <w:tr>
        <w:tc>
          <w:tcPr>
            <w:tcW w:type="dxa" w:w="1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TRC</w:t>
            </w:r>
          </w:p>
        </w:tc>
        <w:tc>
          <w:tcPr>
            <w:tcW w:type="dxa" w:w="4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Прослеживаемость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Решение не связано с документами и исполнением</w:t>
            </w:r>
          </w:p>
        </w:tc>
      </w:tr>
      <w:tr>
        <w:tc>
          <w:tcPr>
            <w:tcW w:type="dxa" w:w="1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VAL</w:t>
            </w:r>
          </w:p>
        </w:tc>
        <w:tc>
          <w:tcPr>
            <w:tcW w:type="dxa" w:w="4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Валидация</w:t>
            </w:r>
          </w:p>
        </w:tc>
        <w:tc>
          <w:tcPr>
            <w:tcW w:type="dxa" w:w="41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Нет критерия приёмки или независимого проверяющего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ГОТОВНОСТЬ  </w:t>
            </w:r>
            <w:r>
              <w:rPr>
                <w:rFonts w:ascii="Arial" w:hAnsi="Arial" w:eastAsia="Arial" w:cs="Arial"/>
                <w:color w:val="1D2730"/>
                <w:sz w:val="21"/>
              </w:rPr>
              <w:t>Readiness = min(LEG, DAT, MOD, RES, CYB, TRC, VAL). Слабейший обязательный шлюз определяет готовность всей системы.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ВНЕДРЕНИЕ</w:t>
      </w:r>
    </w:p>
    <w:p>
      <w:pPr>
        <w:pStyle w:val="Heading1"/>
        <w:keepNext w:val="0"/>
      </w:pPr>
      <w:r>
        <w:t>Пилот 30 / 100 / 365 дней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5000"/>
        <w:gridCol w:w="2860"/>
      </w:tblGrid>
      <w:tr>
        <w:trPr>
          <w:tblHeader w:val="true"/>
        </w:trPr>
        <w:tc>
          <w:tcPr>
            <w:tcW w:type="dxa" w:w="15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Срок</w:t>
            </w:r>
          </w:p>
        </w:tc>
        <w:tc>
          <w:tcPr>
            <w:tcW w:type="dxa" w:w="50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Работы</w:t>
            </w:r>
          </w:p>
        </w:tc>
        <w:tc>
          <w:tcPr>
            <w:tcW w:type="dxa" w:w="28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0–30 дней</w:t>
            </w:r>
          </w:p>
        </w:tc>
        <w:tc>
          <w:tcPr>
            <w:tcW w:type="dxa" w:w="5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Выбор задачи; 3–5 балансов; baseline; право; данные; владелец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Паспорт пилота и критерии остановки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31–100 дней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Классификаторы; паспорта модулей; модель; прототип; маршрут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Рабочий контур и базовая линия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101–180 дней</w:t>
            </w:r>
          </w:p>
        </w:tc>
        <w:tc>
          <w:tcPr>
            <w:tcW w:type="dxa" w:w="5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Параллельный режим; проверка расчётов и нагрузки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Сравнение с действующим процессом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181–300 дней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Исполнение; мониторинг; доказательства; архив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Полный доказательный цикл</w:t>
            </w:r>
          </w:p>
        </w:tc>
      </w:tr>
      <w:tr>
        <w:tc>
          <w:tcPr>
            <w:tcW w:type="dxa" w:w="15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301–365 дней</w:t>
            </w:r>
          </w:p>
        </w:tc>
        <w:tc>
          <w:tcPr>
            <w:tcW w:type="dxa" w:w="50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Независимая оценка права, эффекта, безопасности и стоимости</w:t>
            </w:r>
          </w:p>
        </w:tc>
        <w:tc>
          <w:tcPr>
            <w:tcW w:type="dxa" w:w="28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5"/>
              </w:rPr>
              <w:t>Решение stop / revise / scale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РЕКОМЕНДУЕМЫЙ ОБЪЕКТ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Комплексная территориальная или межведомственная задача, где доступны данные, есть владелец результата и измеримы эффекты по нескольким балансам.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KPI</w:t>
      </w:r>
    </w:p>
    <w:p>
      <w:pPr>
        <w:pStyle w:val="Heading1"/>
        <w:keepNext w:val="0"/>
      </w:pPr>
      <w:r>
        <w:t>Показатели пилота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1700"/>
        <w:gridCol w:w="4760"/>
      </w:tblGrid>
      <w:tr>
        <w:trPr>
          <w:tblHeader w:val="true"/>
        </w:trPr>
        <w:tc>
          <w:tcPr>
            <w:tcW w:type="dxa" w:w="29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Показатель</w:t>
            </w:r>
          </w:p>
        </w:tc>
        <w:tc>
          <w:tcPr>
            <w:tcW w:type="dxa" w:w="17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Модальный порог</w:t>
            </w:r>
          </w:p>
        </w:tc>
        <w:tc>
          <w:tcPr>
            <w:tcW w:type="dxa" w:w="47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Смысл</w:t>
            </w:r>
          </w:p>
        </w:tc>
      </w:tr>
      <w:tr>
        <w:tc>
          <w:tcPr>
            <w:tcW w:type="dxa" w:w="2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Паспорта модулей заполнены</w:t>
            </w:r>
          </w:p>
        </w:tc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100%</w:t>
            </w:r>
          </w:p>
        </w:tc>
        <w:tc>
          <w:tcPr>
            <w:tcW w:type="dxa" w:w="4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Управляемость и ответственность</w:t>
            </w:r>
          </w:p>
        </w:tc>
      </w:tr>
      <w:tr>
        <w:tc>
          <w:tcPr>
            <w:tcW w:type="dxa" w:w="2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Критические данные имеют происхождение</w:t>
            </w:r>
          </w:p>
        </w:tc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100%</w:t>
            </w:r>
          </w:p>
        </w:tc>
        <w:tc>
          <w:tcPr>
            <w:tcW w:type="dxa" w:w="4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Доверие к расчётам</w:t>
            </w:r>
          </w:p>
        </w:tc>
      </w:tr>
      <w:tr>
        <w:tc>
          <w:tcPr>
            <w:tcW w:type="dxa" w:w="2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Полнота обязательных метаданных</w:t>
            </w:r>
          </w:p>
        </w:tc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≥95%</w:t>
            </w:r>
          </w:p>
        </w:tc>
        <w:tc>
          <w:tcPr>
            <w:tcW w:type="dxa" w:w="4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Качество реестра</w:t>
            </w:r>
          </w:p>
        </w:tc>
      </w:tr>
      <w:tr>
        <w:tc>
          <w:tcPr>
            <w:tcW w:type="dxa" w:w="2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Полномочия утверждающего проверены</w:t>
            </w:r>
          </w:p>
        </w:tc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100%</w:t>
            </w:r>
          </w:p>
        </w:tc>
        <w:tc>
          <w:tcPr>
            <w:tcW w:type="dxa" w:w="4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Юридическая допустимость</w:t>
            </w:r>
          </w:p>
        </w:tc>
      </w:tr>
      <w:tr>
        <w:tc>
          <w:tcPr>
            <w:tcW w:type="dxa" w:w="2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Решения связаны с ресурсом и результатом</w:t>
            </w:r>
          </w:p>
        </w:tc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≥95%</w:t>
            </w:r>
          </w:p>
        </w:tc>
        <w:tc>
          <w:tcPr>
            <w:tcW w:type="dxa" w:w="4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Полный доказательный цикл</w:t>
            </w:r>
          </w:p>
        </w:tc>
      </w:tr>
      <w:tr>
        <w:tc>
          <w:tcPr>
            <w:tcW w:type="dxa" w:w="2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Время восстановления досье решения</w:t>
            </w:r>
          </w:p>
        </w:tc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≤15 минут</w:t>
            </w:r>
          </w:p>
        </w:tc>
        <w:tc>
          <w:tcPr>
            <w:tcW w:type="dxa" w:w="4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Контролируемость</w:t>
            </w:r>
          </w:p>
        </w:tc>
      </w:tr>
      <w:tr>
        <w:tc>
          <w:tcPr>
            <w:tcW w:type="dxa" w:w="29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Утраченные доказательства</w:t>
            </w:r>
          </w:p>
        </w:tc>
        <w:tc>
          <w:tcPr>
            <w:tcW w:type="dxa" w:w="17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0</w:t>
            </w:r>
          </w:p>
        </w:tc>
        <w:tc>
          <w:tcPr>
            <w:tcW w:type="dxa" w:w="4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Целостность</w:t>
            </w:r>
          </w:p>
        </w:tc>
      </w:tr>
      <w:tr>
        <w:tc>
          <w:tcPr>
            <w:tcW w:type="dxa" w:w="2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Нарушения стоп-условий</w:t>
            </w:r>
          </w:p>
        </w:tc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0</w:t>
            </w:r>
          </w:p>
        </w:tc>
        <w:tc>
          <w:tcPr>
            <w:tcW w:type="dxa" w:w="4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Право и безопасность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МЕТОДИКА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Пороговые значения уточняются после базовой линии и не должны подменять оценку фактического изменения выбранных балансов.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РИСКИ</w:t>
      </w:r>
    </w:p>
    <w:p>
      <w:pPr>
        <w:pStyle w:val="Heading1"/>
        <w:keepNext w:val="0"/>
      </w:pPr>
      <w:r>
        <w:t>Ключевые риски и меры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560"/>
        <w:gridCol w:w="3600"/>
      </w:tblGrid>
      <w:tr>
        <w:trPr>
          <w:tblHeader w:val="true"/>
        </w:trPr>
        <w:tc>
          <w:tcPr>
            <w:tcW w:type="dxa" w:w="22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Риск</w:t>
            </w:r>
          </w:p>
        </w:tc>
        <w:tc>
          <w:tcPr>
            <w:tcW w:type="dxa" w:w="35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Проявление</w:t>
            </w:r>
          </w:p>
        </w:tc>
        <w:tc>
          <w:tcPr>
            <w:tcW w:type="dxa" w:w="36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Мера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Формальная цифровизация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Старые отчёты получили новые коды</w:t>
            </w:r>
          </w:p>
        </w:tc>
        <w:tc>
          <w:tcPr>
            <w:tcW w:type="dxa" w:w="3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Проверять полный цикл и доказательство результата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Локальная оптимизация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Один баланс улучшен за счёт другого</w:t>
            </w:r>
          </w:p>
        </w:tc>
        <w:tc>
          <w:tcPr>
            <w:tcW w:type="dxa" w:w="3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Обязательная межбалансовая оценка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Ложная точность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Прогноз выдан за факт</w:t>
            </w:r>
          </w:p>
        </w:tc>
        <w:tc>
          <w:tcPr>
            <w:tcW w:type="dxa" w:w="3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Диапазоны, чувствительность и версии модели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Перегрузка показателями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260 полей применяются одновременно</w:t>
            </w:r>
          </w:p>
        </w:tc>
        <w:tc>
          <w:tcPr>
            <w:tcW w:type="dxa" w:w="3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Профиль показателей по задаче и масштабу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Подмена полномочий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Алгоритм принимает решение</w:t>
            </w:r>
          </w:p>
        </w:tc>
        <w:tc>
          <w:tcPr>
            <w:tcW w:type="dxa" w:w="3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Human-in-command и юридические шлюзы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Необеспеченное решение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Нет ресурса или резерва</w:t>
            </w:r>
          </w:p>
        </w:tc>
        <w:tc>
          <w:tcPr>
            <w:tcW w:type="dxa" w:w="3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Блокировка RES до исполнения</w:t>
            </w:r>
          </w:p>
        </w:tc>
      </w:tr>
      <w:tr>
        <w:tc>
          <w:tcPr>
            <w:tcW w:type="dxa" w:w="22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Утрата доверия</w:t>
            </w:r>
          </w:p>
        </w:tc>
        <w:tc>
          <w:tcPr>
            <w:tcW w:type="dxa" w:w="35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Неясны источник и изменение данных</w:t>
            </w:r>
          </w:p>
        </w:tc>
        <w:tc>
          <w:tcPr>
            <w:tcW w:type="dxa" w:w="36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Происхождение, версии и событийный журнал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Вендорская зависимость</w:t>
            </w:r>
          </w:p>
        </w:tc>
        <w:tc>
          <w:tcPr>
            <w:tcW w:type="dxa" w:w="3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Закрытые форматы и модели</w:t>
            </w:r>
          </w:p>
        </w:tc>
        <w:tc>
          <w:tcPr>
            <w:tcW w:type="dxa" w:w="3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4"/>
              </w:rPr>
              <w:t>Открытые схемы, экспорт и план миграции</w:t>
            </w:r>
          </w:p>
        </w:tc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МАСШТАБИРОВАНИЕ</w:t>
      </w:r>
    </w:p>
    <w:p>
      <w:pPr>
        <w:pStyle w:val="Heading1"/>
        <w:keepNext w:val="0"/>
      </w:pPr>
      <w:r>
        <w:t>Дорожная карта до 2030–2036 годов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800"/>
        <w:gridCol w:w="3760"/>
      </w:tblGrid>
      <w:tr>
        <w:trPr>
          <w:tblHeader w:val="true"/>
        </w:trPr>
        <w:tc>
          <w:tcPr>
            <w:tcW w:type="dxa" w:w="18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Период</w:t>
            </w:r>
          </w:p>
        </w:tc>
        <w:tc>
          <w:tcPr>
            <w:tcW w:type="dxa" w:w="38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Фокус</w:t>
            </w:r>
          </w:p>
        </w:tc>
        <w:tc>
          <w:tcPr>
            <w:tcW w:type="dxa" w:w="37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Контрольный результат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2026</w:t>
            </w:r>
          </w:p>
        </w:tc>
        <w:tc>
          <w:tcPr>
            <w:tcW w:type="dxa" w:w="3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Методика, право, классификаторы и baseline</w:t>
            </w:r>
          </w:p>
        </w:tc>
        <w:tc>
          <w:tcPr>
            <w:tcW w:type="dxa" w:w="3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Готовность пилота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2027</w:t>
            </w:r>
          </w:p>
        </w:tc>
        <w:tc>
          <w:tcPr>
            <w:tcW w:type="dxa" w:w="3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Пилот 3–5 связанных балансов</w:t>
            </w:r>
          </w:p>
        </w:tc>
        <w:tc>
          <w:tcPr>
            <w:tcW w:type="dxa" w:w="3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Независимо подтверждённый полный цикл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2028</w:t>
            </w:r>
          </w:p>
        </w:tc>
        <w:tc>
          <w:tcPr>
            <w:tcW w:type="dxa" w:w="3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Совместимость реестров, документов и моделей</w:t>
            </w:r>
          </w:p>
        </w:tc>
        <w:tc>
          <w:tcPr>
            <w:tcW w:type="dxa" w:w="3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Общие идентификаторы и API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2029–2030</w:t>
            </w:r>
          </w:p>
        </w:tc>
        <w:tc>
          <w:tcPr>
            <w:tcW w:type="dxa" w:w="3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Региональные портфели и межотраслевые решения</w:t>
            </w:r>
          </w:p>
        </w:tc>
        <w:tc>
          <w:tcPr>
            <w:tcW w:type="dxa" w:w="3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Связь с национальными целями</w:t>
            </w:r>
          </w:p>
        </w:tc>
      </w:tr>
      <w:tr>
        <w:tc>
          <w:tcPr>
            <w:tcW w:type="dxa" w:w="1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2031–2036</w:t>
            </w:r>
          </w:p>
        </w:tc>
        <w:tc>
          <w:tcPr>
            <w:tcW w:type="dxa" w:w="38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Адаптивное управление и ранние сигналы</w:t>
            </w:r>
          </w:p>
        </w:tc>
        <w:tc>
          <w:tcPr>
            <w:tcW w:type="dxa" w:w="37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Сценарное управление долгосрочными балансами</w:t>
            </w:r>
          </w:p>
        </w:tc>
      </w:tr>
    </w:tbl>
    <w:p>
      <w:pPr>
        <w:keepNext w:val="0"/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УСЛОВИЕ МАСШТАБИРОВАНИЯ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Не количество подключённых систем, а сохранение законности, доказуемости, безопасности и качества решений.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РЕШЕНИЕ</w:t>
      </w:r>
    </w:p>
    <w:p>
      <w:pPr>
        <w:pStyle w:val="Heading1"/>
        <w:keepNext w:val="0"/>
      </w:pPr>
      <w:r>
        <w:t>Проект поручения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/>
          <w:color w:val="5B6770"/>
        </w:rPr>
        <w:t>Предлагаемая формулировка для последующей юридической доработки: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Подготовить проект целевой модели управления развитием на основе 19 взаимосвязанных балансовых систем.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Определить заказчика пилота, владельца результата, оператора, объект, территорию и правовой режим.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В срок до 100 дней разработать классификатор B01–B19, фазы L01–L13, масштабы S1–S3 и паспорта модулей.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Утвердить минимальный профиль каталога 260, источники данных, формулы, коридоры и правила валидации.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Обеспечить связь решений с документами, ресурсами, исполнением и доказательствами через SUR-810.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Провести 12-месячный пилот и независимую оценку правовой, организационной, информационной, финансовой и кибернетической готовности.</w:t>
      </w:r>
    </w:p>
    <w:p>
      <w:pPr>
        <w:numPr>
          <w:ilvl w:val="0"/>
          <w:numId w:val="13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По итогам представить предложение об остановке, доработке или масштабировании.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СТАТУС  </w:t>
            </w:r>
            <w:r>
              <w:rPr>
                <w:rFonts w:ascii="Arial" w:hAnsi="Arial" w:eastAsia="Arial" w:cs="Arial"/>
                <w:color w:val="1D2730"/>
                <w:sz w:val="21"/>
              </w:rPr>
              <w:t>Формулировка является проектной и требует согласования с компетентными государственными органами, юридическими и отраслевыми экспертами.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ЗАКЛЮЧЕНИЕ</w:t>
      </w:r>
    </w:p>
    <w:p>
      <w:pPr>
        <w:pStyle w:val="Heading1"/>
        <w:keepNext w:val="0"/>
      </w:pPr>
      <w:r>
        <w:t>Итоговая позиция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Балансы и есть система управления, когда каждый из них имеет управляемый объект, целевой коридор, проверяемые данные, причинную модель, законного владельца решения, обеспеченное воздействие и доказательную обратную связь. Девятнадцать балансов образуют не перечень тем, а систему систем: изменение одного контура рассматривается через последствия для других.</w:t>
      </w:r>
    </w:p>
    <w:p>
      <w:pPr>
        <w:keepNext w:val="0"/>
        <w:spacing w:before="0" w:after="120"/>
      </w:pPr>
      <w:r>
        <w:rPr>
          <w:rFonts w:ascii="Arial" w:hAnsi="Arial" w:eastAsia="Arial" w:cs="Arial"/>
          <w:b w:val="0"/>
          <w:i w:val="0"/>
        </w:rPr>
        <w:t>КРИСТАЛЛ 741 делает систему адресуемой, каталог 260 — измеримой, ЭКВИЛИБРИУМ — наблюдаемой и сценарной, SUR-810 — прослеживаемой, ESG-IR 1.0 — доказательной. В совокупности это создаёт архитектуру перехода от управления документами и расходами к управлению подтверждённым изменением состояния страны, территории, отрасли и человека.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2E5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C5A253"/>
                <w:sz w:val="21"/>
              </w:rPr>
              <w:t xml:space="preserve">РЕШЕНИЕ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Запустить 100-дневное проектирование и 12-месячный пилот на одной комплексной задаче с 3–5 связанными балансами.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jc w:val="center"/>
      </w:pPr>
      <w:r>
        <w:rPr>
          <w:rFonts w:ascii="Arial" w:hAnsi="Arial" w:eastAsia="Arial" w:cs="Arial"/>
          <w:b/>
          <w:color w:val="0B2545"/>
          <w:sz w:val="26"/>
        </w:rPr>
        <w:t>Сильная система не устраняет различия между балансами — она делает их связи видимыми, решения законными, ресурсы обеспеченными, а результат доказуемым.</w:t>
      </w: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ПРИЛОЖЕНИЕ A</w:t>
      </w:r>
    </w:p>
    <w:p>
      <w:pPr>
        <w:pStyle w:val="Heading1"/>
        <w:keepNext w:val="0"/>
      </w:pPr>
      <w:r>
        <w:t>Официальные источники и стандарты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spacing w:after="100"/>
      </w:pPr>
      <w:r>
        <w:rPr>
          <w:rFonts w:ascii="Arial" w:hAnsi="Arial" w:eastAsia="Arial" w:cs="Arial"/>
          <w:b/>
          <w:color w:val="C5A253"/>
          <w:sz w:val="18"/>
        </w:rPr>
        <w:t xml:space="preserve">1. </w:t>
      </w:r>
      <w:hyperlink r:id="rId11">
        <w:r>
          <w:rPr>
            <w:rFonts w:ascii="Arial" w:hAnsi="Arial" w:eastAsia="Arial" w:cs="Arial"/>
            <w:color w:val="2E74B5"/>
            <w:u w:val="single"/>
          </w:rPr>
          <w:t>Федеральный закон №172-ФЗ «О стратегическом планировании в Российской Федерации»</w:t>
        </w:r>
      </w:hyperlink>
    </w:p>
    <w:p>
      <w:pPr>
        <w:spacing w:after="100"/>
      </w:pPr>
      <w:r>
        <w:rPr>
          <w:rFonts w:ascii="Arial" w:hAnsi="Arial" w:eastAsia="Arial" w:cs="Arial"/>
          <w:b/>
          <w:color w:val="C5A253"/>
          <w:sz w:val="18"/>
        </w:rPr>
        <w:t xml:space="preserve">2. </w:t>
      </w:r>
      <w:hyperlink r:id="rId12">
        <w:r>
          <w:rPr>
            <w:rFonts w:ascii="Arial" w:hAnsi="Arial" w:eastAsia="Arial" w:cs="Arial"/>
            <w:color w:val="2E74B5"/>
            <w:u w:val="single"/>
          </w:rPr>
          <w:t>Указ Президента Российской Федерации №309 от 07.05.2024 о национальных целях до 2030 года и на перспективу до 2036 года</w:t>
        </w:r>
      </w:hyperlink>
    </w:p>
    <w:p>
      <w:pPr>
        <w:spacing w:after="100"/>
      </w:pPr>
      <w:r>
        <w:rPr>
          <w:rFonts w:ascii="Arial" w:hAnsi="Arial" w:eastAsia="Arial" w:cs="Arial"/>
          <w:b/>
          <w:color w:val="C5A253"/>
          <w:sz w:val="18"/>
        </w:rPr>
        <w:t xml:space="preserve">3. </w:t>
      </w:r>
      <w:hyperlink r:id="rId13">
        <w:r>
          <w:rPr>
            <w:rFonts w:ascii="Arial" w:hAnsi="Arial" w:eastAsia="Arial" w:cs="Arial"/>
            <w:color w:val="2E74B5"/>
            <w:u w:val="single"/>
          </w:rPr>
          <w:t>Росстат: Национальные счета и базовые таблицы «затраты-выпуск»</w:t>
        </w:r>
      </w:hyperlink>
    </w:p>
    <w:p>
      <w:pPr>
        <w:spacing w:after="100"/>
      </w:pPr>
      <w:r>
        <w:rPr>
          <w:rFonts w:ascii="Arial" w:hAnsi="Arial" w:eastAsia="Arial" w:cs="Arial"/>
          <w:b/>
          <w:color w:val="C5A253"/>
          <w:sz w:val="18"/>
        </w:rPr>
        <w:t xml:space="preserve">4. </w:t>
      </w:r>
      <w:hyperlink r:id="rId14">
        <w:r>
          <w:rPr>
            <w:rFonts w:ascii="Arial" w:hAnsi="Arial" w:eastAsia="Arial" w:cs="Arial"/>
            <w:color w:val="2E74B5"/>
            <w:u w:val="single"/>
          </w:rPr>
          <w:t>Росстат: федеральное наблюдение «затраты-выпуск» за 2026 год</w:t>
        </w:r>
      </w:hyperlink>
    </w:p>
    <w:p>
      <w:pPr>
        <w:spacing w:after="100"/>
      </w:pPr>
      <w:r>
        <w:rPr>
          <w:rFonts w:ascii="Arial" w:hAnsi="Arial" w:eastAsia="Arial" w:cs="Arial"/>
          <w:b/>
          <w:color w:val="C5A253"/>
          <w:sz w:val="18"/>
        </w:rPr>
        <w:t xml:space="preserve">5. </w:t>
      </w:r>
      <w:hyperlink r:id="rId15">
        <w:r>
          <w:rPr>
            <w:rFonts w:ascii="Arial" w:hAnsi="Arial" w:eastAsia="Arial" w:cs="Arial"/>
            <w:color w:val="2E74B5"/>
            <w:u w:val="single"/>
          </w:rPr>
          <w:t>ГОСТ Р ИСО 37120-2020: показатели городских услуг и качества жизни</w:t>
        </w:r>
      </w:hyperlink>
    </w:p>
    <w:p>
      <w:pPr>
        <w:spacing w:after="100"/>
      </w:pPr>
      <w:r>
        <w:rPr>
          <w:rFonts w:ascii="Arial" w:hAnsi="Arial" w:eastAsia="Arial" w:cs="Arial"/>
          <w:b/>
          <w:color w:val="C5A253"/>
          <w:sz w:val="18"/>
        </w:rPr>
        <w:t xml:space="preserve">6. </w:t>
      </w:r>
      <w:hyperlink r:id="rId16">
        <w:r>
          <w:rPr>
            <w:rFonts w:ascii="Arial" w:hAnsi="Arial" w:eastAsia="Arial" w:cs="Arial"/>
            <w:color w:val="2E74B5"/>
            <w:u w:val="single"/>
          </w:rPr>
          <w:t>ГОСТ Р 7.0.97-2025: организационно-распорядительная документация</w:t>
        </w:r>
      </w:hyperlink>
    </w:p>
    <w:p>
      <w:pPr>
        <w:spacing w:after="100"/>
      </w:pPr>
      <w:r>
        <w:rPr>
          <w:rFonts w:ascii="Arial" w:hAnsi="Arial" w:eastAsia="Arial" w:cs="Arial"/>
          <w:b/>
          <w:color w:val="C5A253"/>
          <w:sz w:val="18"/>
        </w:rPr>
        <w:t xml:space="preserve">7. </w:t>
      </w:r>
      <w:hyperlink r:id="rId17">
        <w:r>
          <w:rPr>
            <w:rFonts w:ascii="Arial" w:hAnsi="Arial" w:eastAsia="Arial" w:cs="Arial"/>
            <w:color w:val="2E74B5"/>
            <w:u w:val="single"/>
          </w:rPr>
          <w:t>ГОСТ Р ИСО 15489-1-2019: управление документами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A"/>
          </w:tcPr>
          <w:p>
            <w:pPr>
              <w:spacing w:before="60" w:after="60" w:line="269" w:lineRule="auto"/>
            </w:pPr>
            <w:r>
              <w:rPr>
                <w:rFonts w:ascii="Arial" w:hAnsi="Arial" w:eastAsia="Arial" w:cs="Arial"/>
                <w:b/>
                <w:color w:val="2E74B5"/>
                <w:sz w:val="21"/>
              </w:rPr>
              <w:t xml:space="preserve">ПРИМЕЧАНИЕ  </w:t>
            </w:r>
            <w:r>
              <w:rPr>
                <w:rFonts w:ascii="Arial" w:hAnsi="Arial" w:eastAsia="Arial" w:cs="Arial"/>
                <w:color w:val="1D2730"/>
                <w:sz w:val="21"/>
              </w:rPr>
              <w:t>Конкретные показатели, коридоры, коэффициенты связи, владельцы и формулы утверждаются для выбранного пилота и должны соответствовать действующему праву и официальной статистике.</w:t>
            </w:r>
          </w:p>
        </w:tc>
        <w:trPr>
          <w:tblHeader/>
        </w:trPr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ПРИЛОЖЕНИЕ B</w:t>
      </w:r>
    </w:p>
    <w:p>
      <w:pPr>
        <w:pStyle w:val="Heading1"/>
        <w:keepNext w:val="0"/>
      </w:pPr>
      <w:r>
        <w:t>Глоссарий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Термин</w:t>
            </w:r>
          </w:p>
        </w:tc>
        <w:tc>
          <w:tcPr>
            <w:tcW w:type="dxa" w:w="7060"/>
            <w:shd w:fill="0B25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40" w:after="40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7"/>
              </w:rPr>
              <w:t>Определение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Баланс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Система управления состоянием объекта через наблюдение, модель, решение, ресурс, исполнение и обратную связь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Целевой коридор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Допустимый диапазон состояния с целевым значением, сроком и пределами риска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Межбалансовая связь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Причинное или ресурсное влияние изменения одного баланса на другой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Модуль 741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Комбинация баланса, фазы решения и масштаба управления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Каталог 260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Проектный реестр стандартов, показателей, формул, источников и правил проверки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Базовая линия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Подтверждённое исходное состояние, относительно которого измеряется изменение</w:t>
            </w:r>
          </w:p>
        </w:tc>
      </w:tr>
      <w:tr>
        <w:tc>
          <w:tcPr>
            <w:tcW w:type="dxa" w:w="230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/>
                <w:color w:val="1D2730"/>
                <w:sz w:val="16"/>
              </w:rPr>
              <w:t>Шлюз</w:t>
            </w:r>
          </w:p>
        </w:tc>
        <w:tc>
          <w:tcPr>
            <w:tcW w:type="dxa" w:w="7060"/>
            <w:shd w:fill="F4F8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Обязательная проверка, без успешного прохождения которой переход запрещён</w:t>
            </w:r>
          </w:p>
        </w:tc>
      </w:tr>
      <w:tr>
        <w:tc>
          <w:tcPr>
            <w:tcW w:type="dxa" w:w="23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Доказанный результат</w:t>
            </w:r>
          </w:p>
        </w:tc>
        <w:tc>
          <w:tcPr>
            <w:tcW w:type="dxa" w:w="7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1D2730"/>
                <w:sz w:val="16"/>
              </w:rPr>
              <w:t>Измеримое изменение, связанное с решением и подтверждённое источниками и независимой проверкой</w:t>
            </w:r>
          </w:p>
        </w:tc>
      </w:tr>
    </w:tbl>
    <w:p>
      <w:pPr>
        <w:keepNext w:val="0"/>
        <w:spacing w:before="0" w:after="80"/>
      </w:pPr>
    </w:p>
    <w:p>
      <w:pPr>
        <w:keepNext/>
        <w:pageBreakBefore/>
        <w:spacing w:before="0" w:after="80"/>
      </w:pPr>
      <w:r>
        <w:rPr>
          <w:rFonts w:ascii="Arial" w:hAnsi="Arial" w:eastAsia="Arial" w:cs="Arial"/>
          <w:b/>
          <w:i w:val="0"/>
          <w:color w:val="C5A253"/>
          <w:sz w:val="17"/>
        </w:rPr>
        <w:t>ПРИЛОЖЕНИЕ C</w:t>
      </w:r>
    </w:p>
    <w:p>
      <w:pPr>
        <w:pStyle w:val="Heading1"/>
        <w:keepNext w:val="0"/>
      </w:pPr>
      <w:r>
        <w:t>Методологические оговорки</w:t>
      </w:r>
    </w:p>
    <w:p>
      <w:pPr>
        <w:keepNext w:val="0"/>
        <w:spacing w:before="0" w:after="20"/>
      </w:pPr>
      <w:r>
        <w:rPr>
          <w:rFonts w:ascii="Arial" w:hAnsi="Arial" w:eastAsia="Arial" w:cs="Arial"/>
          <w:b w:val="0"/>
          <w:i w:val="0"/>
          <w:color w:val="FFFFFF"/>
          <w:sz w:val="2"/>
        </w:rPr>
        <w:t xml:space="preserve"> 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Классификация B01–B19 является проектной архитектурой и уточняется после обследования полномочий и данных.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Формула 19×13×3=741 описывает адресацию управленческих модулей, а не количество органов, информационных систем или отчётов.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Каталог 260 задаёт максимальную проектную ёмкость стандартов; для каждого решения используется минимально достаточный профиль.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Модели и прогнозы поддерживают решение, но не заменяют право, политическую ответственность и профессиональное суждение.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Экономические таблицы «затраты-выпуск» являются важным источником межотраслевых связей, но не исчерпывают социальные, экологические, пространственные и институциональные балансы.</w:t>
      </w:r>
    </w:p>
    <w:p>
      <w:pPr>
        <w:numPr>
          <w:ilvl w:val="0"/>
          <w:numId w:val="10"/>
        </w:numPr>
        <w:spacing w:after="160" w:line="280" w:lineRule="auto"/>
      </w:pPr>
      <w:r>
        <w:rPr>
          <w:rFonts w:ascii="Arial" w:hAnsi="Arial" w:eastAsia="Arial" w:cs="Arial"/>
          <w:color w:val="1D2730"/>
          <w:sz w:val="21"/>
        </w:rPr>
        <w:t>Масштабирование возможно только после независимой проверки законности, безопасности, совместимости, доказуемости и экономической целесообразности.</w:t>
      </w:r>
    </w:p>
    <w:p>
      <w:pPr>
        <w:keepNext w:val="0"/>
        <w:spacing w:before="0" w:after="120"/>
        <w:jc w:val="center"/>
      </w:pPr>
      <w:r>
        <w:rPr>
          <w:rFonts w:ascii="Arial" w:hAnsi="Arial" w:eastAsia="Arial" w:cs="Arial"/>
          <w:b w:val="0"/>
          <w:i w:val="0"/>
          <w:color w:val="5B6770"/>
          <w:sz w:val="16"/>
        </w:rPr>
        <w:t>Конец документа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Style w:val="TableGrid"/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6500"/>
      <w:gridCol w:w="2860"/>
    </w:tblGrid>
    <w:tr>
      <w:tc>
        <w:tcPr>
          <w:tcW w:type="dxa" w:w="6500"/>
          <w:tcMar>
            <w:top w:w="80" w:type="dxa"/>
            <w:start w:w="120" w:type="dxa"/>
            <w:bottom w:w="80" w:type="dxa"/>
            <w:end w:w="120" w:type="dxa"/>
          </w:tcMar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r>
            <w:rPr>
              <w:rFonts w:ascii="Arial" w:hAnsi="Arial" w:eastAsia="Arial" w:cs="Arial"/>
              <w:color w:val="5B6770"/>
              <w:sz w:val="16"/>
            </w:rPr>
            <w:t>Проект для межведомственного рассмотрения  |  Версия 1.0  |  28.08.2026</w:t>
          </w:r>
        </w:p>
      </w:tc>
      <w:tc>
        <w:tcPr>
          <w:tcW w:type="dxa" w:w="2860"/>
          <w:tcMar>
            <w:top w:w="80" w:type="dxa"/>
            <w:start w:w="120" w:type="dxa"/>
            <w:bottom w:w="80" w:type="dxa"/>
            <w:end w:w="120" w:type="dxa"/>
          </w:tcMar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jc w:val="right"/>
          </w:pPr>
          <w:r>
            <w:rPr>
              <w:rFonts w:ascii="Arial" w:hAnsi="Arial" w:eastAsia="Arial" w:cs="Arial"/>
              <w:color w:val="5B6770"/>
              <w:sz w:val="17"/>
            </w:rPr>
            <w:t xml:space="preserve">Стр. </w:t>
          </w:r>
        </w:p>
      </w:tc>
      <w:trPr>
        <w:tblHeader/>
      </w:trPr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 w:eastAsia="Arial" w:cs="Arial"/>
        <w:b/>
        <w:color w:val="5B6770"/>
        <w:sz w:val="17"/>
      </w:rPr>
      <w:t>SUR 810  |  Система управления развитием Российской Федерации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1">
    <w:abstractNumId w:val="10"/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Arial" w:hAnsi="Arial" w:eastAsia="Arial"/>
      <w:color w:val="1D27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B254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B2545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20"/>
    </w:pPr>
    <w:rPr>
      <w:rFonts w:asciiTheme="majorHAnsi" w:eastAsiaTheme="majorEastAsia" w:hAnsiTheme="majorHAnsi" w:cstheme="majorBidi" w:ascii="Arial" w:hAnsi="Arial"/>
      <w:i/>
      <w:iCs/>
      <w:color w:val="5B6770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RSmall">
    <w:name w:val="SUR Small"/>
    <w:pPr>
      <w:spacing w:after="80" w:line="240" w:lineRule="auto"/>
    </w:pPr>
    <w:rPr>
      <w:rFonts w:ascii="Arial" w:hAnsi="Arial"/>
      <w:color w:val="5B6770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publication.pravo.gov.ru/Document/View/0001201406300016" TargetMode="External"/><Relationship Id="rId12" Type="http://schemas.openxmlformats.org/officeDocument/2006/relationships/hyperlink" Target="https://publication.pravo.gov.ru/document/0001202405070015" TargetMode="External"/><Relationship Id="rId13" Type="http://schemas.openxmlformats.org/officeDocument/2006/relationships/hyperlink" Target="https://rosstat.gov.ru/statistics/accounts" TargetMode="External"/><Relationship Id="rId14" Type="http://schemas.openxmlformats.org/officeDocument/2006/relationships/hyperlink" Target="https://rosstat.gov.ru/zatraty-vypusk-2026" TargetMode="External"/><Relationship Id="rId15" Type="http://schemas.openxmlformats.org/officeDocument/2006/relationships/hyperlink" Target="https://protect.gost.ru/gost/details/dfa4fdfe-dc71-4337-a4a1-8ae7690deaec" TargetMode="External"/><Relationship Id="rId16" Type="http://schemas.openxmlformats.org/officeDocument/2006/relationships/hyperlink" Target="https://protect.gost.ru/gost/details/360994e3-9a70-47b9-ab3a-cf21809e26ed" TargetMode="External"/><Relationship Id="rId17" Type="http://schemas.openxmlformats.org/officeDocument/2006/relationships/hyperlink" Target="https://protect.gost.ru/gost/details/2497916a-b91d-4248-a025-f898920fa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Балансы — система управления развитием России</dc:title>
  <dc:subject>19 взаимосвязанных балансовых систем управления и КРИСТАЛЛ 741</dc:subject>
  <dc:creator>Соколов Сергей Леонидович</dc:creator>
  <cp:keywords>СУР, балансы, КРИСТАЛЛ 741, каталог 260, ЭКВИЛИБРИУМ, SUR-810, ESG-IR</cp:keywords>
  <dc:description>Стратегическая концепция. Версия 1.0.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