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Kicker"/>
        <w:keepLines/>
        <w:jc w:val="center"/>
      </w:pPr>
      <w:r>
        <w:rPr>
          <w:rFonts w:ascii="Arial" w:hAnsi="Arial"/>
          <w:b w:val="0"/>
          <w:i w:val="0"/>
          <w:color w:val="12171D"/>
          <w:sz w:val="22"/>
        </w:rPr>
        <w:t>НАСЛЕДИЕ ЦИВИЛИЗАЦИЙ</w:t>
      </w:r>
    </w:p>
    <w:p>
      <w:pPr>
        <w:keepLines/>
        <w:jc w:val="center"/>
      </w:pPr>
      <w:r>
        <w:rPr>
          <w:rFonts w:ascii="Arial" w:hAnsi="Arial"/>
          <w:b w:val="0"/>
          <w:i w:val="0"/>
          <w:color w:val="12171D"/>
          <w:sz w:val="22"/>
        </w:rPr>
      </w:r>
    </w:p>
    <w:p>
      <w:pPr>
        <w:keepLines/>
        <w:jc w:val="center"/>
      </w:pPr>
      <w:r>
        <w:rPr>
          <w:rFonts w:ascii="Arial" w:hAnsi="Arial"/>
          <w:b w:val="0"/>
          <w:i w:val="0"/>
          <w:color w:val="12171D"/>
          <w:sz w:val="22"/>
        </w:rPr>
      </w:r>
    </w:p>
    <w:p>
      <w:pPr>
        <w:keepLines/>
        <w:jc w:val="center"/>
      </w:pPr>
      <w:r>
        <w:rPr>
          <w:rFonts w:ascii="Arial" w:hAnsi="Arial"/>
          <w:b/>
          <w:i w:val="0"/>
          <w:color w:val="152433"/>
          <w:sz w:val="60"/>
        </w:rPr>
        <w:t>АРХИВ</w:t>
        <w:br/>
        <w:t>СОХРАНЕНИЯ</w:t>
        <w:br/>
        <w:t>НАСЛЕДИЯ</w:t>
      </w:r>
    </w:p>
    <w:p>
      <w:pPr>
        <w:pStyle w:val="Lead"/>
        <w:keepLines/>
        <w:jc w:val="center"/>
      </w:pPr>
      <w:r>
        <w:rPr>
          <w:rFonts w:ascii="Arial" w:hAnsi="Arial"/>
          <w:b w:val="0"/>
          <w:i w:val="0"/>
          <w:color w:val="12171D"/>
          <w:sz w:val="22"/>
        </w:rPr>
        <w:t>Планетарная система выявления, сохранения, исследования и межпоколенческой передачи памяти человечества</w:t>
      </w:r>
    </w:p>
    <w:p>
      <w:pPr>
        <w:keepLines/>
        <w:jc w:val="center"/>
      </w:pPr>
      <w:r>
        <w:rPr>
          <w:rFonts w:ascii="Arial" w:hAnsi="Arial"/>
          <w:b w:val="0"/>
          <w:i w:val="0"/>
          <w:color w:val="12171D"/>
          <w:sz w:val="22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2F4F6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2F80ED"/>
                <w:sz w:val="20"/>
              </w:rPr>
              <w:t xml:space="preserve">ФОРМУЛА  </w:t>
            </w:r>
            <w:r>
              <w:rPr>
                <w:rFonts w:ascii="Arial" w:hAnsi="Arial"/>
                <w:b/>
                <w:i w:val="0"/>
                <w:color w:val="152433"/>
                <w:sz w:val="22"/>
              </w:rPr>
              <w:t>Клады и схроны прошлого → библиотеки и архивы настоящего → хранилища знаний будущего → непрерывная память Цивилизации</w:t>
            </w:r>
          </w:p>
        </w:tc>
      </w:tr>
    </w:tbl>
    <w:p>
      <w:pPr>
        <w:pStyle w:val="Caption"/>
        <w:keepLines/>
      </w:pPr>
      <w:r>
        <w:rPr>
          <w:rFonts w:ascii="Arial" w:hAnsi="Arial"/>
          <w:b w:val="0"/>
          <w:i w:val="0"/>
          <w:color w:val="12171D"/>
          <w:sz w:val="22"/>
        </w:rPr>
      </w:r>
    </w:p>
    <w:p>
      <w:pPr>
        <w:keepLines/>
        <w:jc w:val="center"/>
      </w:pPr>
      <w:r>
        <w:rPr>
          <w:rFonts w:ascii="Arial" w:hAnsi="Arial"/>
          <w:b/>
          <w:i w:val="0"/>
          <w:color w:val="152433"/>
          <w:sz w:val="24"/>
        </w:rPr>
        <w:t>Стратегическая концепция</w:t>
      </w:r>
    </w:p>
    <w:p>
      <w:pPr>
        <w:keepLines/>
        <w:jc w:val="center"/>
      </w:pPr>
      <w:r>
        <w:rPr>
          <w:rFonts w:ascii="Arial" w:hAnsi="Arial"/>
          <w:b w:val="0"/>
          <w:i w:val="0"/>
          <w:color w:val="66707A"/>
          <w:sz w:val="20"/>
        </w:rPr>
        <w:t>Сергей Леонидович Соколов · SOKOL EQUILIBRIS</w:t>
      </w:r>
    </w:p>
    <w:p>
      <w:r>
        <w:br w:type="page"/>
      </w:r>
    </w:p>
    <w:p>
      <w:pPr>
        <w:pStyle w:val="Heading1"/>
        <w:keepLines/>
      </w:pPr>
      <w:r>
        <w:rPr>
          <w:rFonts w:ascii="Arial" w:hAnsi="Arial"/>
          <w:b w:val="0"/>
          <w:i w:val="0"/>
          <w:color w:val="12171D"/>
          <w:sz w:val="22"/>
        </w:rPr>
        <w:t>Содержание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680"/>
        <w:gridCol w:w="4680"/>
      </w:tblGrid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160"/>
            </w:pPr>
            <w:r>
              <w:rPr>
                <w:rFonts w:ascii="Arial" w:hAnsi="Arial"/>
                <w:b w:val="0"/>
                <w:i w:val="0"/>
                <w:color w:val="12171D"/>
                <w:sz w:val="21"/>
              </w:rPr>
              <w:t>1. Резюме и миссия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160"/>
            </w:pPr>
            <w:r>
              <w:rPr>
                <w:rFonts w:ascii="Arial" w:hAnsi="Arial"/>
                <w:b w:val="0"/>
                <w:i w:val="0"/>
                <w:color w:val="12171D"/>
                <w:sz w:val="21"/>
              </w:rPr>
              <w:t>12. Библиотеки и архивы</w:t>
            </w:r>
          </w:p>
        </w:tc>
      </w:tr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160"/>
            </w:pPr>
            <w:r>
              <w:rPr>
                <w:rFonts w:ascii="Arial" w:hAnsi="Arial"/>
                <w:b w:val="0"/>
                <w:i w:val="0"/>
                <w:color w:val="12171D"/>
                <w:sz w:val="21"/>
              </w:rPr>
              <w:t>2. Предмет и границы Архива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160"/>
            </w:pPr>
            <w:r>
              <w:rPr>
                <w:rFonts w:ascii="Arial" w:hAnsi="Arial"/>
                <w:b w:val="0"/>
                <w:i w:val="0"/>
                <w:color w:val="12171D"/>
                <w:sz w:val="21"/>
              </w:rPr>
              <w:t>13. Сакральное и нематериальное наследие</w:t>
            </w:r>
          </w:p>
        </w:tc>
      </w:tr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160"/>
            </w:pPr>
            <w:r>
              <w:rPr>
                <w:rFonts w:ascii="Arial" w:hAnsi="Arial"/>
                <w:b w:val="0"/>
                <w:i w:val="0"/>
                <w:color w:val="12171D"/>
                <w:sz w:val="21"/>
              </w:rPr>
              <w:t>3. Принципы сохранения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160"/>
            </w:pPr>
            <w:r>
              <w:rPr>
                <w:rFonts w:ascii="Arial" w:hAnsi="Arial"/>
                <w:b w:val="0"/>
                <w:i w:val="0"/>
                <w:color w:val="12171D"/>
                <w:sz w:val="21"/>
              </w:rPr>
              <w:t>14. Наследие будущего</w:t>
            </w:r>
          </w:p>
        </w:tc>
      </w:tr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160"/>
            </w:pPr>
            <w:r>
              <w:rPr>
                <w:rFonts w:ascii="Arial" w:hAnsi="Arial"/>
                <w:b w:val="0"/>
                <w:i w:val="0"/>
                <w:color w:val="12171D"/>
                <w:sz w:val="21"/>
              </w:rPr>
              <w:t>4. Категории наследия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160"/>
            </w:pPr>
            <w:r>
              <w:rPr>
                <w:rFonts w:ascii="Arial" w:hAnsi="Arial"/>
                <w:b w:val="0"/>
                <w:i w:val="0"/>
                <w:color w:val="12171D"/>
                <w:sz w:val="21"/>
              </w:rPr>
              <w:t>15. Правовая и этическая модель</w:t>
            </w:r>
          </w:p>
        </w:tc>
      </w:tr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160"/>
            </w:pPr>
            <w:r>
              <w:rPr>
                <w:rFonts w:ascii="Arial" w:hAnsi="Arial"/>
                <w:b w:val="0"/>
                <w:i w:val="0"/>
                <w:color w:val="12171D"/>
                <w:sz w:val="21"/>
              </w:rPr>
              <w:t>5. Классы цивилизационной ценности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160"/>
            </w:pPr>
            <w:r>
              <w:rPr>
                <w:rFonts w:ascii="Arial" w:hAnsi="Arial"/>
                <w:b w:val="0"/>
                <w:i w:val="0"/>
                <w:color w:val="12171D"/>
                <w:sz w:val="21"/>
              </w:rPr>
              <w:t>16. Управление и участники</w:t>
            </w:r>
          </w:p>
        </w:tc>
      </w:tr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160"/>
            </w:pPr>
            <w:r>
              <w:rPr>
                <w:rFonts w:ascii="Arial" w:hAnsi="Arial"/>
                <w:b w:val="0"/>
                <w:i w:val="0"/>
                <w:color w:val="12171D"/>
                <w:sz w:val="21"/>
              </w:rPr>
              <w:t>6. Паспорт наследия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160"/>
            </w:pPr>
            <w:r>
              <w:rPr>
                <w:rFonts w:ascii="Arial" w:hAnsi="Arial"/>
                <w:b w:val="0"/>
                <w:i w:val="0"/>
                <w:color w:val="12171D"/>
                <w:sz w:val="21"/>
              </w:rPr>
              <w:t>17. Безопасность и устойчивость</w:t>
            </w:r>
          </w:p>
        </w:tc>
      </w:tr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160"/>
            </w:pPr>
            <w:r>
              <w:rPr>
                <w:rFonts w:ascii="Arial" w:hAnsi="Arial"/>
                <w:b w:val="0"/>
                <w:i w:val="0"/>
                <w:color w:val="12171D"/>
                <w:sz w:val="21"/>
              </w:rPr>
              <w:t>7. Архитектура системы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160"/>
            </w:pPr>
            <w:r>
              <w:rPr>
                <w:rFonts w:ascii="Arial" w:hAnsi="Arial"/>
                <w:b w:val="0"/>
                <w:i w:val="0"/>
                <w:color w:val="12171D"/>
                <w:sz w:val="21"/>
              </w:rPr>
              <w:t>18. Исследование и общественный доступ</w:t>
            </w:r>
          </w:p>
        </w:tc>
      </w:tr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160"/>
            </w:pPr>
            <w:r>
              <w:rPr>
                <w:rFonts w:ascii="Arial" w:hAnsi="Arial"/>
                <w:b w:val="0"/>
                <w:i w:val="0"/>
                <w:color w:val="12171D"/>
                <w:sz w:val="21"/>
              </w:rPr>
              <w:t>8. Жизненный цикл объекта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160"/>
            </w:pPr>
            <w:r>
              <w:rPr>
                <w:rFonts w:ascii="Arial" w:hAnsi="Arial"/>
                <w:b w:val="0"/>
                <w:i w:val="0"/>
                <w:color w:val="12171D"/>
                <w:sz w:val="21"/>
              </w:rPr>
              <w:t>19. Экономическая модель</w:t>
            </w:r>
          </w:p>
        </w:tc>
      </w:tr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160"/>
            </w:pPr>
            <w:r>
              <w:rPr>
                <w:rFonts w:ascii="Arial" w:hAnsi="Arial"/>
                <w:b w:val="0"/>
                <w:i w:val="0"/>
                <w:color w:val="12171D"/>
                <w:sz w:val="21"/>
              </w:rPr>
              <w:t>9. Физическая инфраструктура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160"/>
            </w:pPr>
            <w:r>
              <w:rPr>
                <w:rFonts w:ascii="Arial" w:hAnsi="Arial"/>
                <w:b w:val="0"/>
                <w:i w:val="0"/>
                <w:color w:val="12171D"/>
                <w:sz w:val="21"/>
              </w:rPr>
              <w:t>20. Этапы реализации</w:t>
            </w:r>
          </w:p>
        </w:tc>
      </w:tr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160"/>
            </w:pPr>
            <w:r>
              <w:rPr>
                <w:rFonts w:ascii="Arial" w:hAnsi="Arial"/>
                <w:b w:val="0"/>
                <w:i w:val="0"/>
                <w:color w:val="12171D"/>
                <w:sz w:val="21"/>
              </w:rPr>
              <w:t>10. Цифровой контур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160"/>
            </w:pPr>
            <w:r>
              <w:rPr>
                <w:rFonts w:ascii="Arial" w:hAnsi="Arial"/>
                <w:b w:val="0"/>
                <w:i w:val="0"/>
                <w:color w:val="12171D"/>
                <w:sz w:val="21"/>
              </w:rPr>
              <w:t>21. Показатели результата</w:t>
            </w:r>
          </w:p>
        </w:tc>
      </w:tr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160"/>
            </w:pPr>
            <w:r>
              <w:rPr>
                <w:rFonts w:ascii="Arial" w:hAnsi="Arial"/>
                <w:b w:val="0"/>
                <w:i w:val="0"/>
                <w:color w:val="12171D"/>
                <w:sz w:val="21"/>
              </w:rPr>
              <w:t>11. Клады и схроны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160"/>
            </w:pPr>
            <w:r>
              <w:rPr>
                <w:rFonts w:ascii="Arial" w:hAnsi="Arial"/>
                <w:b w:val="0"/>
                <w:i w:val="0"/>
                <w:color w:val="12171D"/>
                <w:sz w:val="21"/>
              </w:rPr>
              <w:t>22. Итоговое позиционирование</w:t>
            </w:r>
          </w:p>
        </w:tc>
      </w:tr>
    </w:tbl>
    <w:p>
      <w:r>
        <w:br w:type="page"/>
      </w:r>
    </w:p>
    <w:p>
      <w:pPr>
        <w:pStyle w:val="Heading1"/>
        <w:keepLines/>
      </w:pPr>
      <w:r>
        <w:rPr>
          <w:rFonts w:ascii="Arial" w:hAnsi="Arial"/>
          <w:b w:val="0"/>
          <w:i w:val="0"/>
          <w:color w:val="12171D"/>
          <w:sz w:val="22"/>
        </w:rPr>
        <w:t>1. Резюме и миссия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«Архив сохранения наследия» — единая планетарная инфраструктура, объединяющая физические хранилища, цифровые репозитории, научную экспертизу, правовую фиксацию и общественную память. Архив не подменяет музеи, библиотеки, государства или хранителей традиций. Он создаёт надсистему доверия, благодаря которой наследие можно обнаружить, идентифицировать, сохранить, исследовать и передать следующим поколениям.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DCEFFC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2F80ED"/>
                <w:sz w:val="20"/>
              </w:rPr>
              <w:t xml:space="preserve">МИССИЯ  </w:t>
            </w:r>
            <w:r>
              <w:rPr>
                <w:rFonts w:ascii="Arial" w:hAnsi="Arial"/>
                <w:b/>
                <w:i w:val="0"/>
                <w:color w:val="152433"/>
                <w:sz w:val="22"/>
              </w:rPr>
              <w:t>Не просто собирать свидетельства прошлого, а обеспечивать непрерывность памяти, знаний и культурной идентичности цивилизаций.</w:t>
            </w:r>
          </w:p>
        </w:tc>
      </w:tr>
    </w:tbl>
    <w:p>
      <w:pPr>
        <w:pStyle w:val="Caption"/>
        <w:keepLines/>
      </w:pPr>
      <w:r>
        <w:rPr>
          <w:rFonts w:ascii="Arial" w:hAnsi="Arial"/>
          <w:b w:val="0"/>
          <w:i w:val="0"/>
          <w:color w:val="12171D"/>
          <w:sz w:val="22"/>
        </w:rPr>
      </w:r>
    </w:p>
    <w:p>
      <w:pPr>
        <w:pStyle w:val="Heading2"/>
        <w:keepLines/>
      </w:pPr>
      <w:r>
        <w:rPr>
          <w:rFonts w:ascii="Arial" w:hAnsi="Arial"/>
          <w:b w:val="0"/>
          <w:i w:val="0"/>
          <w:color w:val="12171D"/>
          <w:sz w:val="22"/>
        </w:rPr>
        <w:t>Стратегические задачи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предотвращение утраты уникальных объектов и знаний;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создание единого стандарта описания и подтверждения происхождения;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соединение физического объекта с его цифровым двойником;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обеспечение прав народов, сообществ, владельцев и хранителей;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формирование резервного ядра знаний для восстановления после кризисов;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перевод наследия из пассивного хранения в безопасный культурный и научный оборот.</w:t>
      </w:r>
    </w:p>
    <w:p>
      <w:pPr>
        <w:pStyle w:val="Heading1"/>
        <w:keepLines/>
      </w:pPr>
      <w:r>
        <w:rPr>
          <w:rFonts w:ascii="Arial" w:hAnsi="Arial"/>
          <w:b w:val="0"/>
          <w:i w:val="0"/>
          <w:color w:val="12171D"/>
          <w:sz w:val="22"/>
        </w:rPr>
        <w:t>2. Предмет и границы Архива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Архив охватывает материальные объекты, документальные свидетельства, нематериальные традиции, цифровые данные и критические знания. Единицей учёта становится не только вещь, но и связанный комплекс: объект, контекст, право, носитель знания, цифровая модель и история событий.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800"/>
        <w:gridCol w:w="4080"/>
        <w:gridCol w:w="348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Слой</w:t>
            </w:r>
          </w:p>
        </w:tc>
        <w:tc>
          <w:tcPr>
            <w:tcW w:type="dxa" w:w="4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Содержание</w:t>
            </w:r>
          </w:p>
        </w:tc>
        <w:tc>
          <w:tcPr>
            <w:tcW w:type="dxa" w:w="34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Результат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Материальный</w:t>
            </w:r>
          </w:p>
        </w:tc>
        <w:tc>
          <w:tcPr>
            <w:tcW w:type="dxa" w:w="4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артефакты, произведения, документы, коллекции</w:t>
            </w:r>
          </w:p>
        </w:tc>
        <w:tc>
          <w:tcPr>
            <w:tcW w:type="dxa" w:w="34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сохранность объекта</w:t>
            </w:r>
          </w:p>
        </w:tc>
      </w:tr>
      <w:tr>
        <w:tc>
          <w:tcPr>
            <w:tcW w:type="dxa" w:w="18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Информационный</w:t>
            </w:r>
          </w:p>
        </w:tc>
        <w:tc>
          <w:tcPr>
            <w:tcW w:type="dxa" w:w="408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описания, каталоги, исследования, метаданные</w:t>
            </w:r>
          </w:p>
        </w:tc>
        <w:tc>
          <w:tcPr>
            <w:tcW w:type="dxa" w:w="348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доказательная память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Правовой</w:t>
            </w:r>
          </w:p>
        </w:tc>
        <w:tc>
          <w:tcPr>
            <w:tcW w:type="dxa" w:w="4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владелец, хранитель, ограничения, происхождение</w:t>
            </w:r>
          </w:p>
        </w:tc>
        <w:tc>
          <w:tcPr>
            <w:tcW w:type="dxa" w:w="34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легитимность операций</w:t>
            </w:r>
          </w:p>
        </w:tc>
      </w:tr>
      <w:tr>
        <w:tc>
          <w:tcPr>
            <w:tcW w:type="dxa" w:w="18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Культурный</w:t>
            </w:r>
          </w:p>
        </w:tc>
        <w:tc>
          <w:tcPr>
            <w:tcW w:type="dxa" w:w="408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смыслы, язык, ритуалы, традиции</w:t>
            </w:r>
          </w:p>
        </w:tc>
        <w:tc>
          <w:tcPr>
            <w:tcW w:type="dxa" w:w="348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сохранение идентичности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Цифровой</w:t>
            </w:r>
          </w:p>
        </w:tc>
        <w:tc>
          <w:tcPr>
            <w:tcW w:type="dxa" w:w="4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копии, модели, ключи, резервные базы</w:t>
            </w:r>
          </w:p>
        </w:tc>
        <w:tc>
          <w:tcPr>
            <w:tcW w:type="dxa" w:w="34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доступность и восстановимость</w:t>
            </w:r>
          </w:p>
        </w:tc>
      </w:tr>
    </w:tbl>
    <w:p>
      <w:pPr>
        <w:pStyle w:val="Caption"/>
        <w:keepLines/>
      </w:pPr>
      <w:r>
        <w:rPr>
          <w:rFonts w:ascii="Arial" w:hAnsi="Arial"/>
          <w:b w:val="0"/>
          <w:i w:val="0"/>
          <w:color w:val="12171D"/>
          <w:sz w:val="22"/>
        </w:rPr>
      </w:r>
    </w:p>
    <w:p>
      <w:pPr>
        <w:pStyle w:val="Heading1"/>
        <w:keepLines/>
      </w:pPr>
      <w:r>
        <w:rPr>
          <w:rFonts w:ascii="Arial" w:hAnsi="Arial"/>
          <w:b w:val="0"/>
          <w:i w:val="0"/>
          <w:color w:val="12171D"/>
          <w:sz w:val="22"/>
        </w:rPr>
        <w:t>3. Принципы сохранения</w:t>
      </w:r>
    </w:p>
    <w:p>
      <w:pPr>
        <w:pStyle w:val="Heading3"/>
        <w:keepLines/>
      </w:pPr>
      <w:r>
        <w:rPr>
          <w:rFonts w:ascii="Arial" w:hAnsi="Arial"/>
          <w:b w:val="0"/>
          <w:i w:val="0"/>
          <w:color w:val="12171D"/>
          <w:sz w:val="22"/>
        </w:rPr>
        <w:t>Целостность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объект сохраняется вместе с контекстом и происхождением.</w:t>
      </w:r>
    </w:p>
    <w:p>
      <w:pPr>
        <w:pStyle w:val="Heading3"/>
        <w:keepLines/>
      </w:pPr>
      <w:r>
        <w:rPr>
          <w:rFonts w:ascii="Arial" w:hAnsi="Arial"/>
          <w:b w:val="0"/>
          <w:i w:val="0"/>
          <w:color w:val="12171D"/>
          <w:sz w:val="22"/>
        </w:rPr>
        <w:t>Субсидиарность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наследие остаётся у законного владельца или культурного хранителя.</w:t>
      </w:r>
    </w:p>
    <w:p>
      <w:pPr>
        <w:pStyle w:val="Heading3"/>
        <w:keepLines/>
      </w:pPr>
      <w:r>
        <w:rPr>
          <w:rFonts w:ascii="Arial" w:hAnsi="Arial"/>
          <w:b w:val="0"/>
          <w:i w:val="0"/>
          <w:color w:val="12171D"/>
          <w:sz w:val="22"/>
        </w:rPr>
        <w:t>Неизъятие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реестр не становится механизмом принудительной централизации.</w:t>
      </w:r>
    </w:p>
    <w:p>
      <w:pPr>
        <w:pStyle w:val="Heading3"/>
        <w:keepLines/>
      </w:pPr>
      <w:r>
        <w:rPr>
          <w:rFonts w:ascii="Arial" w:hAnsi="Arial"/>
          <w:b w:val="0"/>
          <w:i w:val="0"/>
          <w:color w:val="12171D"/>
          <w:sz w:val="22"/>
        </w:rPr>
        <w:t>Доказательность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каждое действие фиксируется и может быть проверено.</w:t>
      </w:r>
    </w:p>
    <w:p>
      <w:pPr>
        <w:pStyle w:val="Heading3"/>
        <w:keepLines/>
      </w:pPr>
      <w:r>
        <w:rPr>
          <w:rFonts w:ascii="Arial" w:hAnsi="Arial"/>
          <w:b w:val="0"/>
          <w:i w:val="0"/>
          <w:color w:val="12171D"/>
          <w:sz w:val="22"/>
        </w:rPr>
        <w:t>Разумная доступность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открытость соразмерна риску и культурным ограничениям.</w:t>
      </w:r>
    </w:p>
    <w:p>
      <w:pPr>
        <w:pStyle w:val="Heading3"/>
        <w:keepLines/>
      </w:pPr>
      <w:r>
        <w:rPr>
          <w:rFonts w:ascii="Arial" w:hAnsi="Arial"/>
          <w:b w:val="0"/>
          <w:i w:val="0"/>
          <w:color w:val="12171D"/>
          <w:sz w:val="22"/>
        </w:rPr>
        <w:t>Межпоколенческая ответственность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решения оцениваются на горизонте многих поколений.</w:t>
      </w:r>
    </w:p>
    <w:p>
      <w:pPr>
        <w:pStyle w:val="Heading3"/>
        <w:keepLines/>
      </w:pPr>
      <w:r>
        <w:rPr>
          <w:rFonts w:ascii="Arial" w:hAnsi="Arial"/>
          <w:b w:val="0"/>
          <w:i w:val="0"/>
          <w:color w:val="12171D"/>
          <w:sz w:val="22"/>
        </w:rPr>
        <w:t>Технологическая независимость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данные сохраняются в переносимых форматах и нескольких средах.</w:t>
      </w:r>
    </w:p>
    <w:p>
      <w:pPr>
        <w:pStyle w:val="Heading3"/>
        <w:keepLines/>
      </w:pPr>
      <w:r>
        <w:rPr>
          <w:rFonts w:ascii="Arial" w:hAnsi="Arial"/>
          <w:b w:val="0"/>
          <w:i w:val="0"/>
          <w:color w:val="12171D"/>
          <w:sz w:val="22"/>
        </w:rPr>
        <w:t>Уважение цивилизационного многообразия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единый стандарт не унифицирует смыслы и традиции.</w:t>
      </w:r>
    </w:p>
    <w:p>
      <w:r>
        <w:br w:type="page"/>
      </w:r>
    </w:p>
    <w:p>
      <w:pPr>
        <w:pStyle w:val="Heading1"/>
        <w:keepLines/>
      </w:pPr>
      <w:r>
        <w:rPr>
          <w:rFonts w:ascii="Arial" w:hAnsi="Arial"/>
          <w:b w:val="0"/>
          <w:i w:val="0"/>
          <w:color w:val="12171D"/>
          <w:sz w:val="22"/>
        </w:rPr>
        <w:t>4. Категории наследия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750"/>
        <w:gridCol w:w="4170"/>
        <w:gridCol w:w="3440"/>
      </w:tblGrid>
      <w:t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Категория</w:t>
            </w:r>
          </w:p>
        </w:tc>
        <w:tc>
          <w:tcPr>
            <w:tcW w:type="dxa" w:w="41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Состав</w:t>
            </w:r>
          </w:p>
        </w:tc>
        <w:tc>
          <w:tcPr>
            <w:tcW w:type="dxa" w:w="3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Базовый режим</w:t>
            </w:r>
          </w:p>
        </w:tc>
      </w:tr>
      <w:t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Клады</w:t>
            </w:r>
          </w:p>
        </w:tc>
        <w:tc>
          <w:tcPr>
            <w:tcW w:type="dxa" w:w="41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монеты, драгоценности, реликвии, археологические комплексы</w:t>
            </w:r>
          </w:p>
        </w:tc>
        <w:tc>
          <w:tcPr>
            <w:tcW w:type="dxa" w:w="3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правовая фиксация, экспертиза, консервация</w:t>
            </w:r>
          </w:p>
        </w:tc>
      </w:tr>
      <w:tr>
        <w:tc>
          <w:tcPr>
            <w:tcW w:type="dxa" w:w="175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Схроны</w:t>
            </w:r>
          </w:p>
        </w:tc>
        <w:tc>
          <w:tcPr>
            <w:tcW w:type="dxa" w:w="417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тайники, архивы, резервные запасы, капсулы времени</w:t>
            </w:r>
          </w:p>
        </w:tc>
        <w:tc>
          <w:tcPr>
            <w:tcW w:type="dxa" w:w="344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защищённое раскрытие и протоколирование</w:t>
            </w:r>
          </w:p>
        </w:tc>
      </w:tr>
      <w:t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Библиотеки</w:t>
            </w:r>
          </w:p>
        </w:tc>
        <w:tc>
          <w:tcPr>
            <w:tcW w:type="dxa" w:w="41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книги, рукописи, карты, научные фонды</w:t>
            </w:r>
          </w:p>
        </w:tc>
        <w:tc>
          <w:tcPr>
            <w:tcW w:type="dxa" w:w="3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реставрация, оцифровка, доступ</w:t>
            </w:r>
          </w:p>
        </w:tc>
      </w:tr>
      <w:tr>
        <w:tc>
          <w:tcPr>
            <w:tcW w:type="dxa" w:w="175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Архивы</w:t>
            </w:r>
          </w:p>
        </w:tc>
        <w:tc>
          <w:tcPr>
            <w:tcW w:type="dxa" w:w="417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государственные, религиозные, родовые, корпоративные документы</w:t>
            </w:r>
          </w:p>
        </w:tc>
        <w:tc>
          <w:tcPr>
            <w:tcW w:type="dxa" w:w="344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происхождение, связность, режим доступа</w:t>
            </w:r>
          </w:p>
        </w:tc>
      </w:tr>
      <w:t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Музейные фонды</w:t>
            </w:r>
          </w:p>
        </w:tc>
        <w:tc>
          <w:tcPr>
            <w:tcW w:type="dxa" w:w="41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искусство, артефакты, коллекции</w:t>
            </w:r>
          </w:p>
        </w:tc>
        <w:tc>
          <w:tcPr>
            <w:tcW w:type="dxa" w:w="3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климат, учёт, экспонирование</w:t>
            </w:r>
          </w:p>
        </w:tc>
      </w:tr>
      <w:tr>
        <w:tc>
          <w:tcPr>
            <w:tcW w:type="dxa" w:w="175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Археология</w:t>
            </w:r>
          </w:p>
        </w:tc>
        <w:tc>
          <w:tcPr>
            <w:tcW w:type="dxa" w:w="417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поселения, захоронения, подводные объекты</w:t>
            </w:r>
          </w:p>
        </w:tc>
        <w:tc>
          <w:tcPr>
            <w:tcW w:type="dxa" w:w="344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охрана места и цифровой двойник</w:t>
            </w:r>
          </w:p>
        </w:tc>
      </w:tr>
      <w:t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Сакральное</w:t>
            </w:r>
          </w:p>
        </w:tc>
        <w:tc>
          <w:tcPr>
            <w:tcW w:type="dxa" w:w="41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святыни, реликвии, храмовые предметы</w:t>
            </w:r>
          </w:p>
        </w:tc>
        <w:tc>
          <w:tcPr>
            <w:tcW w:type="dxa" w:w="3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культурно-религиозный протокол</w:t>
            </w:r>
          </w:p>
        </w:tc>
      </w:tr>
      <w:tr>
        <w:tc>
          <w:tcPr>
            <w:tcW w:type="dxa" w:w="175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Устное</w:t>
            </w:r>
          </w:p>
        </w:tc>
        <w:tc>
          <w:tcPr>
            <w:tcW w:type="dxa" w:w="417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языки, эпосы, музыка, обряды</w:t>
            </w:r>
          </w:p>
        </w:tc>
        <w:tc>
          <w:tcPr>
            <w:tcW w:type="dxa" w:w="344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аудиовизуальная фиксация и передача</w:t>
            </w:r>
          </w:p>
        </w:tc>
      </w:tr>
      <w:t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Цифровое</w:t>
            </w:r>
          </w:p>
        </w:tc>
        <w:tc>
          <w:tcPr>
            <w:tcW w:type="dxa" w:w="41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базы знаний, код, цифровое искусство</w:t>
            </w:r>
          </w:p>
        </w:tc>
        <w:tc>
          <w:tcPr>
            <w:tcW w:type="dxa" w:w="3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распределённое резервирование</w:t>
            </w:r>
          </w:p>
        </w:tc>
      </w:tr>
      <w:tr>
        <w:tc>
          <w:tcPr>
            <w:tcW w:type="dxa" w:w="175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Будущее</w:t>
            </w:r>
          </w:p>
        </w:tc>
        <w:tc>
          <w:tcPr>
            <w:tcW w:type="dxa" w:w="417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семенные банки, генетические и технологические коллекции</w:t>
            </w:r>
          </w:p>
        </w:tc>
        <w:tc>
          <w:tcPr>
            <w:tcW w:type="dxa" w:w="344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долгосрочное хранение и восстановление</w:t>
            </w:r>
          </w:p>
        </w:tc>
      </w:tr>
    </w:tbl>
    <w:p>
      <w:pPr>
        <w:pStyle w:val="Caption"/>
        <w:keepLines/>
      </w:pPr>
      <w:r>
        <w:rPr>
          <w:rFonts w:ascii="Arial" w:hAnsi="Arial"/>
          <w:b w:val="0"/>
          <w:i w:val="0"/>
          <w:color w:val="12171D"/>
          <w:sz w:val="22"/>
        </w:rPr>
      </w:r>
    </w:p>
    <w:p>
      <w:pPr>
        <w:pStyle w:val="Heading1"/>
        <w:keepLines/>
      </w:pPr>
      <w:r>
        <w:rPr>
          <w:rFonts w:ascii="Arial" w:hAnsi="Arial"/>
          <w:b w:val="0"/>
          <w:i w:val="0"/>
          <w:color w:val="12171D"/>
          <w:sz w:val="22"/>
        </w:rPr>
        <w:t>5. Классы цивилизационной ценности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100"/>
        <w:gridCol w:w="2600"/>
        <w:gridCol w:w="5660"/>
      </w:tblGrid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Класс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Уровень</w:t>
            </w:r>
          </w:p>
        </w:tc>
        <w:tc>
          <w:tcPr>
            <w:tcW w:type="dxa" w:w="5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Критерий</w:t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C1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Локальное</w:t>
            </w:r>
          </w:p>
        </w:tc>
        <w:tc>
          <w:tcPr>
            <w:tcW w:type="dxa" w:w="5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семья, поселение, сообщество</w:t>
            </w:r>
          </w:p>
        </w:tc>
      </w:tr>
      <w:tr>
        <w:tc>
          <w:tcPr>
            <w:tcW w:type="dxa" w:w="11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C2</w:t>
            </w:r>
          </w:p>
        </w:tc>
        <w:tc>
          <w:tcPr>
            <w:tcW w:type="dxa" w:w="26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Региональное</w:t>
            </w:r>
          </w:p>
        </w:tc>
        <w:tc>
          <w:tcPr>
            <w:tcW w:type="dxa" w:w="566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исторический регион или культурный ареал</w:t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C3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Национальное</w:t>
            </w:r>
          </w:p>
        </w:tc>
        <w:tc>
          <w:tcPr>
            <w:tcW w:type="dxa" w:w="5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идентичность и память народа или государства</w:t>
            </w:r>
          </w:p>
        </w:tc>
      </w:tr>
      <w:tr>
        <w:tc>
          <w:tcPr>
            <w:tcW w:type="dxa" w:w="11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C4</w:t>
            </w:r>
          </w:p>
        </w:tc>
        <w:tc>
          <w:tcPr>
            <w:tcW w:type="dxa" w:w="26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Межцивилизационное</w:t>
            </w:r>
          </w:p>
        </w:tc>
        <w:tc>
          <w:tcPr>
            <w:tcW w:type="dxa" w:w="566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связи нескольких культур и эпох</w:t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C5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Всемирное</w:t>
            </w:r>
          </w:p>
        </w:tc>
        <w:tc>
          <w:tcPr>
            <w:tcW w:type="dxa" w:w="5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уникальное достояние человечества</w:t>
            </w:r>
          </w:p>
        </w:tc>
      </w:tr>
      <w:tr>
        <w:tc>
          <w:tcPr>
            <w:tcW w:type="dxa" w:w="11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C6</w:t>
            </w:r>
          </w:p>
        </w:tc>
        <w:tc>
          <w:tcPr>
            <w:tcW w:type="dxa" w:w="26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Критическое планетарное</w:t>
            </w:r>
          </w:p>
        </w:tc>
        <w:tc>
          <w:tcPr>
            <w:tcW w:type="dxa" w:w="566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знания и ресурсы для выживания и восстановления цивилизации</w:t>
            </w:r>
          </w:p>
        </w:tc>
      </w:tr>
    </w:tbl>
    <w:p>
      <w:pPr>
        <w:pStyle w:val="Caption"/>
        <w:keepLines/>
      </w:pPr>
      <w:r>
        <w:rPr>
          <w:rFonts w:ascii="Arial" w:hAnsi="Arial"/>
          <w:b w:val="0"/>
          <w:i w:val="0"/>
          <w:color w:val="12171D"/>
          <w:sz w:val="22"/>
        </w:rPr>
      </w:r>
    </w:p>
    <w:p>
      <w:pPr>
        <w:pStyle w:val="Lead"/>
        <w:keepLines/>
      </w:pPr>
      <w:r>
        <w:rPr>
          <w:rFonts w:ascii="Arial" w:hAnsi="Arial"/>
          <w:b w:val="0"/>
          <w:i w:val="0"/>
          <w:color w:val="12171D"/>
          <w:sz w:val="22"/>
        </w:rPr>
        <w:t>Класс не определяет рыночную цену. Он задаёт глубину сохранения, резервирования, контроля, этической экспертизы и международного взаимодействия.</w:t>
      </w:r>
    </w:p>
    <w:p>
      <w:pPr>
        <w:pStyle w:val="Heading1"/>
        <w:keepLines/>
      </w:pPr>
      <w:r>
        <w:rPr>
          <w:rFonts w:ascii="Arial" w:hAnsi="Arial"/>
          <w:b w:val="0"/>
          <w:i w:val="0"/>
          <w:color w:val="12171D"/>
          <w:sz w:val="22"/>
        </w:rPr>
        <w:t>6. Паспорт наследия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Каждому объекту или комплексу присваивается постоянный идентификатор и создаётся «Паспорт наследия» — связующий слой между физическим объектом, цифровой записью, правами и культурным контекстом.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идентификация, описание, изображения и метки;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география, время и обстоятельства происхождения;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культурная принадлежность и смысловое описание;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цепочка владения и правовой статус;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материальный состав, состояние и риски;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класс цивилизационной ценности;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режим хранения, доступа и использования;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цифровой двойник и контрольные суммы;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история исследований, реставраций и перемещений;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протокол действий при угрозе или эвакуации.</w:t>
      </w:r>
    </w:p>
    <w:p>
      <w:r>
        <w:br w:type="page"/>
      </w:r>
    </w:p>
    <w:p>
      <w:pPr>
        <w:pStyle w:val="Heading1"/>
        <w:keepLines/>
      </w:pPr>
      <w:r>
        <w:rPr>
          <w:rFonts w:ascii="Arial" w:hAnsi="Arial"/>
          <w:b w:val="0"/>
          <w:i w:val="0"/>
          <w:color w:val="12171D"/>
          <w:sz w:val="22"/>
        </w:rPr>
        <w:t>7. Архитектура системы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800"/>
        <w:gridCol w:w="3780"/>
        <w:gridCol w:w="378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Уровень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Функция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Инструменты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1. Объект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физическая или нематериальная единица наследия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метки, упаковка, носители</w:t>
            </w:r>
          </w:p>
        </w:tc>
      </w:tr>
      <w:tr>
        <w:tc>
          <w:tcPr>
            <w:tcW w:type="dxa" w:w="18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2. Паспорт</w:t>
            </w:r>
          </w:p>
        </w:tc>
        <w:tc>
          <w:tcPr>
            <w:tcW w:type="dxa" w:w="378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идентичность, право, состояние, история</w:t>
            </w:r>
          </w:p>
        </w:tc>
        <w:tc>
          <w:tcPr>
            <w:tcW w:type="dxa" w:w="378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реестр и стандарты метаданных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3. Репозиторий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сохранение объектов и достоверных записей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фондохранилища, библиотеки, дата-центры</w:t>
            </w:r>
          </w:p>
        </w:tc>
      </w:tr>
      <w:tr>
        <w:tc>
          <w:tcPr>
            <w:tcW w:type="dxa" w:w="18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4. Сеть доверия</w:t>
            </w:r>
          </w:p>
        </w:tc>
        <w:tc>
          <w:tcPr>
            <w:tcW w:type="dxa" w:w="378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верификация и обмен между хранителями</w:t>
            </w:r>
          </w:p>
        </w:tc>
        <w:tc>
          <w:tcPr>
            <w:tcW w:type="dxa" w:w="378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аккредитация, аудит, совместимость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5. Планетарный индекс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поиск, навигация и оценка угроз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карта наследия и аналитический центр</w:t>
            </w:r>
          </w:p>
        </w:tc>
      </w:tr>
    </w:tbl>
    <w:p>
      <w:pPr>
        <w:pStyle w:val="Caption"/>
        <w:keepLines/>
      </w:pPr>
      <w:r>
        <w:rPr>
          <w:rFonts w:ascii="Arial" w:hAnsi="Arial"/>
          <w:b w:val="0"/>
          <w:i w:val="0"/>
          <w:color w:val="12171D"/>
          <w:sz w:val="22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DCEFFC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2F80ED"/>
                <w:sz w:val="20"/>
              </w:rPr>
              <w:t xml:space="preserve">ЕДИНОЕ ЯДРО  </w:t>
            </w:r>
            <w:r>
              <w:rPr>
                <w:rFonts w:ascii="Arial" w:hAnsi="Arial"/>
                <w:b/>
                <w:i w:val="0"/>
                <w:color w:val="152433"/>
                <w:sz w:val="22"/>
              </w:rPr>
              <w:t>Паспорт наследия + распределённый реестр + стандарты хранения + система прав доступа + история событий.</w:t>
            </w:r>
          </w:p>
        </w:tc>
      </w:tr>
    </w:tbl>
    <w:p>
      <w:pPr>
        <w:pStyle w:val="Caption"/>
        <w:keepLines/>
      </w:pPr>
      <w:r>
        <w:rPr>
          <w:rFonts w:ascii="Arial" w:hAnsi="Arial"/>
          <w:b w:val="0"/>
          <w:i w:val="0"/>
          <w:color w:val="12171D"/>
          <w:sz w:val="22"/>
        </w:rPr>
      </w:r>
    </w:p>
    <w:p>
      <w:pPr>
        <w:pStyle w:val="Heading1"/>
        <w:keepLines/>
      </w:pPr>
      <w:r>
        <w:rPr>
          <w:rFonts w:ascii="Arial" w:hAnsi="Arial"/>
          <w:b w:val="0"/>
          <w:i w:val="0"/>
          <w:color w:val="12171D"/>
          <w:sz w:val="22"/>
        </w:rPr>
        <w:t>8. Жизненный цикл объекта</w:t>
      </w:r>
    </w:p>
    <w:p>
      <w:pPr>
        <w:pStyle w:val="ListNumber"/>
        <w:numPr>
          <w:ilvl w:val="0"/>
          <w:numId w:val="10"/>
        </w:numPr>
        <w:spacing w:after="80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Обнаружить и обеспечить первичную сохранность.</w:t>
      </w:r>
    </w:p>
    <w:p>
      <w:pPr>
        <w:pStyle w:val="ListNumber"/>
        <w:numPr>
          <w:ilvl w:val="0"/>
          <w:numId w:val="10"/>
        </w:numPr>
        <w:spacing w:after="80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Установить контекст, происхождение и право.</w:t>
      </w:r>
    </w:p>
    <w:p>
      <w:pPr>
        <w:pStyle w:val="ListNumber"/>
        <w:numPr>
          <w:ilvl w:val="0"/>
          <w:numId w:val="10"/>
        </w:numPr>
        <w:spacing w:after="80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Провести научную, культурную и техническую экспертизу.</w:t>
      </w:r>
    </w:p>
    <w:p>
      <w:pPr>
        <w:pStyle w:val="ListNumber"/>
        <w:numPr>
          <w:ilvl w:val="0"/>
          <w:numId w:val="10"/>
        </w:numPr>
        <w:spacing w:after="80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Присвоить категорию и класс цивилизационной ценности.</w:t>
      </w:r>
    </w:p>
    <w:p>
      <w:pPr>
        <w:pStyle w:val="ListNumber"/>
        <w:numPr>
          <w:ilvl w:val="0"/>
          <w:numId w:val="10"/>
        </w:numPr>
        <w:spacing w:after="80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Создать паспорт и цифровой двойник.</w:t>
      </w:r>
    </w:p>
    <w:p>
      <w:pPr>
        <w:pStyle w:val="ListNumber"/>
        <w:numPr>
          <w:ilvl w:val="0"/>
          <w:numId w:val="10"/>
        </w:numPr>
        <w:spacing w:after="80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Назначить физический и цифровой режим хранения.</w:t>
      </w:r>
    </w:p>
    <w:p>
      <w:pPr>
        <w:pStyle w:val="ListNumber"/>
        <w:numPr>
          <w:ilvl w:val="0"/>
          <w:numId w:val="10"/>
        </w:numPr>
        <w:spacing w:after="80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Осуществлять мониторинг, исследования и контролируемое использование.</w:t>
      </w:r>
    </w:p>
    <w:p>
      <w:pPr>
        <w:pStyle w:val="ListNumber"/>
        <w:numPr>
          <w:ilvl w:val="0"/>
          <w:numId w:val="10"/>
        </w:numPr>
        <w:spacing w:after="80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Передать, экспонировать, репатриировать или вывести из режима по утверждённому протоколу.</w:t>
      </w:r>
    </w:p>
    <w:p>
      <w:pPr>
        <w:pStyle w:val="Heading1"/>
        <w:keepLines/>
      </w:pPr>
      <w:r>
        <w:rPr>
          <w:rFonts w:ascii="Arial" w:hAnsi="Arial"/>
          <w:b w:val="0"/>
          <w:i w:val="0"/>
          <w:color w:val="12171D"/>
          <w:sz w:val="22"/>
        </w:rPr>
        <w:t>9. Физическая инфраструктура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Сеть строится как распределённая система специализированных сред, а не как одно централизованное хранилище.</w:t>
      </w:r>
    </w:p>
    <w:p>
      <w:pPr>
        <w:pStyle w:val="Heading3"/>
        <w:keepLines/>
      </w:pPr>
      <w:r>
        <w:rPr>
          <w:rFonts w:ascii="Arial" w:hAnsi="Arial"/>
          <w:b w:val="0"/>
          <w:i w:val="0"/>
          <w:color w:val="12171D"/>
          <w:sz w:val="22"/>
        </w:rPr>
        <w:t>Арт-репозитории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климат, свет, condition report, реставрационная готовность.</w:t>
      </w:r>
    </w:p>
    <w:p>
      <w:pPr>
        <w:pStyle w:val="Heading3"/>
        <w:keepLines/>
      </w:pPr>
      <w:r>
        <w:rPr>
          <w:rFonts w:ascii="Arial" w:hAnsi="Arial"/>
          <w:b w:val="0"/>
          <w:i w:val="0"/>
          <w:color w:val="12171D"/>
          <w:sz w:val="22"/>
        </w:rPr>
        <w:t>Security House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сейфовые зоны для реликвий, драгоценностей и особо ценных носителей.</w:t>
      </w:r>
    </w:p>
    <w:p>
      <w:pPr>
        <w:pStyle w:val="Heading3"/>
        <w:keepLines/>
      </w:pPr>
      <w:r>
        <w:rPr>
          <w:rFonts w:ascii="Arial" w:hAnsi="Arial"/>
          <w:b w:val="0"/>
          <w:i w:val="0"/>
          <w:color w:val="12171D"/>
          <w:sz w:val="22"/>
        </w:rPr>
        <w:t>Библиотечные хранилища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контроль бумаги, кожи, пергамента, плёнки и магнитных носителей.</w:t>
      </w:r>
    </w:p>
    <w:p>
      <w:pPr>
        <w:pStyle w:val="Heading3"/>
        <w:keepLines/>
      </w:pPr>
      <w:r>
        <w:rPr>
          <w:rFonts w:ascii="Arial" w:hAnsi="Arial"/>
          <w:b w:val="0"/>
          <w:i w:val="0"/>
          <w:color w:val="12171D"/>
          <w:sz w:val="22"/>
        </w:rPr>
        <w:t>Археологические резерватории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сохранение объекта в контексте места.</w:t>
      </w:r>
    </w:p>
    <w:p>
      <w:pPr>
        <w:pStyle w:val="Heading3"/>
        <w:keepLines/>
      </w:pPr>
      <w:r>
        <w:rPr>
          <w:rFonts w:ascii="Arial" w:hAnsi="Arial"/>
          <w:b w:val="0"/>
          <w:i w:val="0"/>
          <w:color w:val="12171D"/>
          <w:sz w:val="22"/>
        </w:rPr>
        <w:t>Подводные контуры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мониторинг и документация объектов без преждевременного подъёма.</w:t>
      </w:r>
    </w:p>
    <w:p>
      <w:pPr>
        <w:pStyle w:val="Heading3"/>
        <w:keepLines/>
      </w:pPr>
      <w:r>
        <w:rPr>
          <w:rFonts w:ascii="Arial" w:hAnsi="Arial"/>
          <w:b w:val="0"/>
          <w:i w:val="0"/>
          <w:color w:val="12171D"/>
          <w:sz w:val="22"/>
        </w:rPr>
        <w:t>Крио- и биобанки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семена, генетические образцы, микроорганизмы.</w:t>
      </w:r>
    </w:p>
    <w:p>
      <w:pPr>
        <w:pStyle w:val="Heading3"/>
        <w:keepLines/>
      </w:pPr>
      <w:r>
        <w:rPr>
          <w:rFonts w:ascii="Arial" w:hAnsi="Arial"/>
          <w:b w:val="0"/>
          <w:i w:val="0"/>
          <w:color w:val="12171D"/>
          <w:sz w:val="22"/>
        </w:rPr>
        <w:t>Стратегические убежища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резервные копии знаний, инструменты восстановления и автономные запасы.</w:t>
      </w:r>
    </w:p>
    <w:p>
      <w:pPr>
        <w:pStyle w:val="Heading1"/>
        <w:keepLines/>
      </w:pPr>
      <w:r>
        <w:rPr>
          <w:rFonts w:ascii="Arial" w:hAnsi="Arial"/>
          <w:b w:val="0"/>
          <w:i w:val="0"/>
          <w:color w:val="12171D"/>
          <w:sz w:val="22"/>
        </w:rPr>
        <w:t>10. Цифровой контур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распределённое хранение минимум в трёх независимых юрисдикциях или средах;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открытые форматы и регулярная миграция данных;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криптографический контроль целостности без раскрытия закрытых сведений;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версии, журналы событий и доказуемое происхождение;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семантический граф связей между объектами, людьми, местами и эпохами;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цифровые двойники для исследования, образования и восстановления;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раздельные публичный, исследовательский, хранительский и специальный контуры доступа.</w:t>
      </w:r>
    </w:p>
    <w:p>
      <w:r>
        <w:br w:type="page"/>
      </w:r>
    </w:p>
    <w:p>
      <w:pPr>
        <w:pStyle w:val="Heading1"/>
        <w:keepLines/>
      </w:pPr>
      <w:r>
        <w:rPr>
          <w:rFonts w:ascii="Arial" w:hAnsi="Arial"/>
          <w:b w:val="0"/>
          <w:i w:val="0"/>
          <w:color w:val="12171D"/>
          <w:sz w:val="22"/>
        </w:rPr>
        <w:t>11. Клады и схроны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Клад или схрон рассматривается не как совокупность отдельных находок, а как исторический комплекс. Ключевой ценностью часто является взаимное расположение предметов, обстоятельства сокрытия и связь с событиями эпохи.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DCEFFC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2F80ED"/>
                <w:sz w:val="20"/>
              </w:rPr>
              <w:t xml:space="preserve">ПРОТОКОЛ  </w:t>
            </w:r>
            <w:r>
              <w:rPr>
                <w:rFonts w:ascii="Arial" w:hAnsi="Arial"/>
                <w:b/>
                <w:i w:val="0"/>
                <w:color w:val="152433"/>
                <w:sz w:val="22"/>
              </w:rPr>
              <w:t>Не извлекать без фиксации контекста. Не публиковать точную геолокацию до обеспечения безопасности. Не разделять комплекс до научной описи.</w:t>
            </w:r>
          </w:p>
        </w:tc>
      </w:tr>
    </w:tbl>
    <w:p>
      <w:pPr>
        <w:pStyle w:val="Caption"/>
        <w:keepLines/>
      </w:pPr>
      <w:r>
        <w:rPr>
          <w:rFonts w:ascii="Arial" w:hAnsi="Arial"/>
          <w:b w:val="0"/>
          <w:i w:val="0"/>
          <w:color w:val="12171D"/>
          <w:sz w:val="22"/>
        </w:rPr>
      </w:r>
    </w:p>
    <w:p>
      <w:pPr>
        <w:pStyle w:val="Heading2"/>
        <w:keepLines/>
      </w:pPr>
      <w:r>
        <w:rPr>
          <w:rFonts w:ascii="Arial" w:hAnsi="Arial"/>
          <w:b w:val="0"/>
          <w:i w:val="0"/>
          <w:color w:val="12171D"/>
          <w:sz w:val="22"/>
        </w:rPr>
        <w:t>Порядок действий</w:t>
      </w:r>
    </w:p>
    <w:p>
      <w:pPr>
        <w:pStyle w:val="ListNumber"/>
        <w:numPr>
          <w:ilvl w:val="0"/>
          <w:numId w:val="11"/>
        </w:numPr>
        <w:spacing w:after="80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зафиксировать место без вмешательства;</w:t>
      </w:r>
    </w:p>
    <w:p>
      <w:pPr>
        <w:pStyle w:val="ListNumber"/>
        <w:numPr>
          <w:ilvl w:val="0"/>
          <w:numId w:val="11"/>
        </w:numPr>
        <w:spacing w:after="80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обеспечить временную охрану;</w:t>
      </w:r>
    </w:p>
    <w:p>
      <w:pPr>
        <w:pStyle w:val="ListNumber"/>
        <w:numPr>
          <w:ilvl w:val="0"/>
          <w:numId w:val="11"/>
        </w:numPr>
        <w:spacing w:after="80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уведомить компетентные органы и научных специалистов;</w:t>
      </w:r>
    </w:p>
    <w:p>
      <w:pPr>
        <w:pStyle w:val="ListNumber"/>
        <w:numPr>
          <w:ilvl w:val="0"/>
          <w:numId w:val="11"/>
        </w:numPr>
        <w:spacing w:after="80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создать первичный закрытый паспорт;</w:t>
      </w:r>
    </w:p>
    <w:p>
      <w:pPr>
        <w:pStyle w:val="ListNumber"/>
        <w:numPr>
          <w:ilvl w:val="0"/>
          <w:numId w:val="11"/>
        </w:numPr>
        <w:spacing w:after="80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провести обследование неразрушающими методами;</w:t>
      </w:r>
    </w:p>
    <w:p>
      <w:pPr>
        <w:pStyle w:val="ListNumber"/>
        <w:numPr>
          <w:ilvl w:val="0"/>
          <w:numId w:val="11"/>
        </w:numPr>
        <w:spacing w:after="80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организовать извлечение, консервацию и правовое оформление;</w:t>
      </w:r>
    </w:p>
    <w:p>
      <w:pPr>
        <w:pStyle w:val="ListNumber"/>
        <w:numPr>
          <w:ilvl w:val="0"/>
          <w:numId w:val="11"/>
        </w:numPr>
        <w:spacing w:after="80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определить режим публикации и дальнейшего хранения.</w:t>
      </w:r>
    </w:p>
    <w:p>
      <w:pPr>
        <w:pStyle w:val="Heading1"/>
        <w:keepLines/>
      </w:pPr>
      <w:r>
        <w:rPr>
          <w:rFonts w:ascii="Arial" w:hAnsi="Arial"/>
          <w:b w:val="0"/>
          <w:i w:val="0"/>
          <w:color w:val="12171D"/>
          <w:sz w:val="22"/>
        </w:rPr>
        <w:t>12. Библиотеки и архивы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Библиотеки и архивы являются инфраструктурой непрерывности мышления. Система сохраняет не только редкие единицы, но и структуру фонда: каталоги, комментарии, пометы, связи между версиями и историю использования.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100"/>
        <w:gridCol w:w="3300"/>
        <w:gridCol w:w="3960"/>
      </w:tblGrid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Контур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Приоритет</w:t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Особенность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Рукописный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уникальность и материальный носитель</w:t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мультиспектральная съёмка, консервация</w:t>
            </w:r>
          </w:p>
        </w:tc>
      </w:tr>
      <w:tr>
        <w:tc>
          <w:tcPr>
            <w:tcW w:type="dxa" w:w="21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Печатный</w:t>
            </w:r>
          </w:p>
        </w:tc>
        <w:tc>
          <w:tcPr>
            <w:tcW w:type="dxa" w:w="33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полнота и вариативность изданий</w:t>
            </w:r>
          </w:p>
        </w:tc>
        <w:tc>
          <w:tcPr>
            <w:tcW w:type="dxa" w:w="396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учёт редакций и маргиналий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Аудиовизуальный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форматы и оборудование воспроизведения</w:t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миграция без потери качества</w:t>
            </w:r>
          </w:p>
        </w:tc>
      </w:tr>
      <w:tr>
        <w:tc>
          <w:tcPr>
            <w:tcW w:type="dxa" w:w="21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Научный</w:t>
            </w:r>
          </w:p>
        </w:tc>
        <w:tc>
          <w:tcPr>
            <w:tcW w:type="dxa" w:w="33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данные, методики, отрицательные результаты</w:t>
            </w:r>
          </w:p>
        </w:tc>
        <w:tc>
          <w:tcPr>
            <w:tcW w:type="dxa" w:w="396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воспроизводимость исследования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Закрытый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персональные, государственные, сакральные сведения</w:t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отложенное раскрытие и разграничение прав</w:t>
            </w:r>
          </w:p>
        </w:tc>
      </w:tr>
    </w:tbl>
    <w:p>
      <w:pPr>
        <w:pStyle w:val="Caption"/>
        <w:keepLines/>
      </w:pPr>
      <w:r>
        <w:rPr>
          <w:rFonts w:ascii="Arial" w:hAnsi="Arial"/>
          <w:b w:val="0"/>
          <w:i w:val="0"/>
          <w:color w:val="12171D"/>
          <w:sz w:val="22"/>
        </w:rPr>
      </w:r>
    </w:p>
    <w:p>
      <w:pPr>
        <w:pStyle w:val="Heading1"/>
        <w:keepLines/>
      </w:pPr>
      <w:r>
        <w:rPr>
          <w:rFonts w:ascii="Arial" w:hAnsi="Arial"/>
          <w:b w:val="0"/>
          <w:i w:val="0"/>
          <w:color w:val="12171D"/>
          <w:sz w:val="22"/>
        </w:rPr>
        <w:t>13. Сакральное и нематериальное наследие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Сакральные объекты и живые традиции требуют не только технического, но и этического хранения. Решение о доступе, копировании и публикации принимается при участии носителей традиции.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свободное, предварительное и осознанное согласие сообщества;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право культурного хранителя ограничить раскрытие;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недопустимость отделения записи от смыслового контекста;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обязательное указание языка, носителей и условий исполнения;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передача знания через обучение новых носителей, а не только через запись.</w:t>
      </w:r>
    </w:p>
    <w:p>
      <w:pPr>
        <w:pStyle w:val="Heading1"/>
        <w:keepLines/>
      </w:pPr>
      <w:r>
        <w:rPr>
          <w:rFonts w:ascii="Arial" w:hAnsi="Arial"/>
          <w:b w:val="0"/>
          <w:i w:val="0"/>
          <w:color w:val="12171D"/>
          <w:sz w:val="22"/>
        </w:rPr>
        <w:t>14. Наследие будущего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Архив должен сохранять не только память о прошлом, но и способность цивилизации продолжить развитие после системных кризисов.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100"/>
        <w:gridCol w:w="3900"/>
        <w:gridCol w:w="3360"/>
      </w:tblGrid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Резерв</w:t>
            </w:r>
          </w:p>
        </w:tc>
        <w:tc>
          <w:tcPr>
            <w:tcW w:type="dxa" w:w="3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Что сохраняется</w:t>
            </w:r>
          </w:p>
        </w:tc>
        <w:tc>
          <w:tcPr>
            <w:tcW w:type="dxa" w:w="3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Назначение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Биологический</w:t>
            </w:r>
          </w:p>
        </w:tc>
        <w:tc>
          <w:tcPr>
            <w:tcW w:type="dxa" w:w="3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семена, генетические образцы, микроорганизмы</w:t>
            </w:r>
          </w:p>
        </w:tc>
        <w:tc>
          <w:tcPr>
            <w:tcW w:type="dxa" w:w="3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восстановление биоразнообразия</w:t>
            </w:r>
          </w:p>
        </w:tc>
      </w:tr>
      <w:tr>
        <w:tc>
          <w:tcPr>
            <w:tcW w:type="dxa" w:w="21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Технологический</w:t>
            </w:r>
          </w:p>
        </w:tc>
        <w:tc>
          <w:tcPr>
            <w:tcW w:type="dxa" w:w="39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чертежи, процессы, материалы, метрология</w:t>
            </w:r>
          </w:p>
        </w:tc>
        <w:tc>
          <w:tcPr>
            <w:tcW w:type="dxa" w:w="336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восстановление производства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Научный</w:t>
            </w:r>
          </w:p>
        </w:tc>
        <w:tc>
          <w:tcPr>
            <w:tcW w:type="dxa" w:w="3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базовые теории, данные, методы проверки</w:t>
            </w:r>
          </w:p>
        </w:tc>
        <w:tc>
          <w:tcPr>
            <w:tcW w:type="dxa" w:w="3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возобновление исследований</w:t>
            </w:r>
          </w:p>
        </w:tc>
      </w:tr>
      <w:tr>
        <w:tc>
          <w:tcPr>
            <w:tcW w:type="dxa" w:w="21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Языковой</w:t>
            </w:r>
          </w:p>
        </w:tc>
        <w:tc>
          <w:tcPr>
            <w:tcW w:type="dxa" w:w="39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словари, грамматики, корпуса, произношение</w:t>
            </w:r>
          </w:p>
        </w:tc>
        <w:tc>
          <w:tcPr>
            <w:tcW w:type="dxa" w:w="336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сохранение культурного многообразия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Институциональный</w:t>
            </w:r>
          </w:p>
        </w:tc>
        <w:tc>
          <w:tcPr>
            <w:tcW w:type="dxa" w:w="3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правовые и управленческие модели</w:t>
            </w:r>
          </w:p>
        </w:tc>
        <w:tc>
          <w:tcPr>
            <w:tcW w:type="dxa" w:w="3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восстановление общественной организации</w:t>
            </w:r>
          </w:p>
        </w:tc>
      </w:tr>
    </w:tbl>
    <w:p>
      <w:pPr>
        <w:pStyle w:val="Caption"/>
        <w:keepLines/>
      </w:pPr>
      <w:r>
        <w:rPr>
          <w:rFonts w:ascii="Arial" w:hAnsi="Arial"/>
          <w:b w:val="0"/>
          <w:i w:val="0"/>
          <w:color w:val="12171D"/>
          <w:sz w:val="22"/>
        </w:rPr>
      </w:r>
    </w:p>
    <w:p>
      <w:r>
        <w:br w:type="page"/>
      </w:r>
    </w:p>
    <w:p>
      <w:pPr>
        <w:pStyle w:val="Heading1"/>
        <w:keepLines/>
      </w:pPr>
      <w:r>
        <w:rPr>
          <w:rFonts w:ascii="Arial" w:hAnsi="Arial"/>
          <w:b w:val="0"/>
          <w:i w:val="0"/>
          <w:color w:val="12171D"/>
          <w:sz w:val="22"/>
        </w:rPr>
        <w:t>15. Правовая и этическая модель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Архив действует как доверенный координатор и инфраструктурный оператор. Внесение в реестр не изменяет право собственности и не отменяет суверенитет государств, народов, религиозных организаций или частных владельцев.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презумпция законного владения при обязательной проверке происхождения;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запрет легализации незаконно вывезенных или приобретённых объектов;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механизм уведомления, оспаривания и исправления записи;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приоритет сохранности при конфликте краткосрочной выгоды и общественного интереса;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специальный режим для человеческих останков, сакральных объектов и чувствительных данных;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прозрачный протокол реституции и репатриации;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разделение научной экспертизы, хранения, страхования и распоряжения.</w:t>
      </w:r>
    </w:p>
    <w:p>
      <w:pPr>
        <w:pStyle w:val="Heading1"/>
        <w:keepLines/>
      </w:pPr>
      <w:r>
        <w:rPr>
          <w:rFonts w:ascii="Arial" w:hAnsi="Arial"/>
          <w:b w:val="0"/>
          <w:i w:val="0"/>
          <w:color w:val="12171D"/>
          <w:sz w:val="22"/>
        </w:rPr>
        <w:t>16. Управление и участники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3000"/>
        <w:gridCol w:w="6360"/>
      </w:tblGrid>
      <w:t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Участник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Роль</w:t>
            </w:r>
          </w:p>
        </w:tc>
      </w:tr>
      <w:t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Совет хранителей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принципы, этика, разрешение сложных случаев</w:t>
            </w:r>
          </w:p>
        </w:tc>
      </w:tr>
      <w:tr>
        <w:tc>
          <w:tcPr>
            <w:tcW w:type="dxa" w:w="30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Научный совет</w:t>
            </w:r>
          </w:p>
        </w:tc>
        <w:tc>
          <w:tcPr>
            <w:tcW w:type="dxa" w:w="636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методики идентификации, классификации и исследования</w:t>
            </w:r>
          </w:p>
        </w:tc>
      </w:tr>
      <w:t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Национальные узлы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связь с правом, реестрами и учреждениями страны</w:t>
            </w:r>
          </w:p>
        </w:tc>
      </w:tr>
      <w:tr>
        <w:tc>
          <w:tcPr>
            <w:tcW w:type="dxa" w:w="30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Культурные сообщества</w:t>
            </w:r>
          </w:p>
        </w:tc>
        <w:tc>
          <w:tcPr>
            <w:tcW w:type="dxa" w:w="636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смысл, согласие, ограничения, передача традиции</w:t>
            </w:r>
          </w:p>
        </w:tc>
      </w:tr>
      <w:t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Операторы хранения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физическая сохранность и SLA</w:t>
            </w:r>
          </w:p>
        </w:tc>
      </w:tr>
      <w:tr>
        <w:tc>
          <w:tcPr>
            <w:tcW w:type="dxa" w:w="30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Цифровые репозитории</w:t>
            </w:r>
          </w:p>
        </w:tc>
        <w:tc>
          <w:tcPr>
            <w:tcW w:type="dxa" w:w="636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резервирование, целостность и совместимость</w:t>
            </w:r>
          </w:p>
        </w:tc>
      </w:tr>
      <w:t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Страховые и логистические партнёры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оценка риска и безопасное перемещение</w:t>
            </w:r>
          </w:p>
        </w:tc>
      </w:tr>
      <w:tr>
        <w:tc>
          <w:tcPr>
            <w:tcW w:type="dxa" w:w="30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Общественный наблюдательный контур</w:t>
            </w:r>
          </w:p>
        </w:tc>
        <w:tc>
          <w:tcPr>
            <w:tcW w:type="dxa" w:w="636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прозрачность и защита общественного интереса</w:t>
            </w:r>
          </w:p>
        </w:tc>
      </w:tr>
    </w:tbl>
    <w:p>
      <w:pPr>
        <w:pStyle w:val="Caption"/>
        <w:keepLines/>
      </w:pPr>
      <w:r>
        <w:rPr>
          <w:rFonts w:ascii="Arial" w:hAnsi="Arial"/>
          <w:b w:val="0"/>
          <w:i w:val="0"/>
          <w:color w:val="12171D"/>
          <w:sz w:val="22"/>
        </w:rPr>
      </w:r>
    </w:p>
    <w:p>
      <w:pPr>
        <w:pStyle w:val="Heading1"/>
        <w:keepLines/>
      </w:pPr>
      <w:r>
        <w:rPr>
          <w:rFonts w:ascii="Arial" w:hAnsi="Arial"/>
          <w:b w:val="0"/>
          <w:i w:val="0"/>
          <w:color w:val="12171D"/>
          <w:sz w:val="22"/>
        </w:rPr>
        <w:t>17. Безопасность и устойчивость</w:t>
      </w:r>
    </w:p>
    <w:p>
      <w:pPr>
        <w:pStyle w:val="Heading3"/>
        <w:keepLines/>
      </w:pPr>
      <w:r>
        <w:rPr>
          <w:rFonts w:ascii="Arial" w:hAnsi="Arial"/>
          <w:b w:val="0"/>
          <w:i w:val="0"/>
          <w:color w:val="12171D"/>
          <w:sz w:val="22"/>
        </w:rPr>
        <w:t>Многоуровневая защита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периметр, зоны, роли, двухфакторный доступ, журналирование.</w:t>
      </w:r>
    </w:p>
    <w:p>
      <w:pPr>
        <w:pStyle w:val="Heading3"/>
        <w:keepLines/>
      </w:pPr>
      <w:r>
        <w:rPr>
          <w:rFonts w:ascii="Arial" w:hAnsi="Arial"/>
          <w:b w:val="0"/>
          <w:i w:val="0"/>
          <w:color w:val="12171D"/>
          <w:sz w:val="22"/>
        </w:rPr>
        <w:t>Географическое резервирование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независимые копии и альтернативные площадки.</w:t>
      </w:r>
    </w:p>
    <w:p>
      <w:pPr>
        <w:pStyle w:val="Heading3"/>
        <w:keepLines/>
      </w:pPr>
      <w:r>
        <w:rPr>
          <w:rFonts w:ascii="Arial" w:hAnsi="Arial"/>
          <w:b w:val="0"/>
          <w:i w:val="0"/>
          <w:color w:val="12171D"/>
          <w:sz w:val="22"/>
        </w:rPr>
        <w:t>Планы непрерывности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сценарии пожара, наводнения, войны, кибератаки и деградации носителей.</w:t>
      </w:r>
    </w:p>
    <w:p>
      <w:pPr>
        <w:pStyle w:val="Heading3"/>
        <w:keepLines/>
      </w:pPr>
      <w:r>
        <w:rPr>
          <w:rFonts w:ascii="Arial" w:hAnsi="Arial"/>
          <w:b w:val="0"/>
          <w:i w:val="0"/>
          <w:color w:val="12171D"/>
          <w:sz w:val="22"/>
        </w:rPr>
        <w:t>Контроль инсайдерского риска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разделение полномочий и принцип двух ключей.</w:t>
      </w:r>
    </w:p>
    <w:p>
      <w:pPr>
        <w:pStyle w:val="Heading3"/>
        <w:keepLines/>
      </w:pPr>
      <w:r>
        <w:rPr>
          <w:rFonts w:ascii="Arial" w:hAnsi="Arial"/>
          <w:b w:val="0"/>
          <w:i w:val="0"/>
          <w:color w:val="12171D"/>
          <w:sz w:val="22"/>
        </w:rPr>
        <w:t>Периодические учения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проверка эвакуации, восстановления данных и смены оператора.</w:t>
      </w:r>
    </w:p>
    <w:p>
      <w:pPr>
        <w:pStyle w:val="Heading3"/>
        <w:keepLines/>
      </w:pPr>
      <w:r>
        <w:rPr>
          <w:rFonts w:ascii="Arial" w:hAnsi="Arial"/>
          <w:b w:val="0"/>
          <w:i w:val="0"/>
          <w:color w:val="12171D"/>
          <w:sz w:val="22"/>
        </w:rPr>
        <w:t>Антихрупкость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каждый инцидент улучшает стандарты и архитектуру.</w:t>
      </w:r>
    </w:p>
    <w:p>
      <w:pPr>
        <w:pStyle w:val="Heading1"/>
        <w:keepLines/>
      </w:pPr>
      <w:r>
        <w:rPr>
          <w:rFonts w:ascii="Arial" w:hAnsi="Arial"/>
          <w:b w:val="0"/>
          <w:i w:val="0"/>
          <w:color w:val="12171D"/>
          <w:sz w:val="22"/>
        </w:rPr>
        <w:t>18. Исследование и общественный доступ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Доступ строится по принципу «максимально открыто — настолько, насколько безопасно и этично». Публичный портал показывает проверенные сведения, а чувствительная информация остаётся в защищённых контурах.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000"/>
        <w:gridCol w:w="3000"/>
        <w:gridCol w:w="4360"/>
      </w:tblGrid>
      <w:tr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Уровень доступа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Пользователи</w:t>
            </w:r>
          </w:p>
        </w:tc>
        <w:tc>
          <w:tcPr>
            <w:tcW w:type="dxa" w:w="4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Содержание</w:t>
            </w:r>
          </w:p>
        </w:tc>
      </w:tr>
      <w:tr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Публичный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граждане, школы, туристы</w:t>
            </w:r>
          </w:p>
        </w:tc>
        <w:tc>
          <w:tcPr>
            <w:tcW w:type="dxa" w:w="4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описания, истории, цифровые экспозиции</w:t>
            </w:r>
          </w:p>
        </w:tc>
      </w:tr>
      <w:tr>
        <w:tc>
          <w:tcPr>
            <w:tcW w:type="dxa" w:w="20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Образовательный</w:t>
            </w:r>
          </w:p>
        </w:tc>
        <w:tc>
          <w:tcPr>
            <w:tcW w:type="dxa" w:w="30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учителя, учащиеся, музеи</w:t>
            </w:r>
          </w:p>
        </w:tc>
        <w:tc>
          <w:tcPr>
            <w:tcW w:type="dxa" w:w="436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курсы, коллекции, методические наборы</w:t>
            </w:r>
          </w:p>
        </w:tc>
      </w:tr>
      <w:tr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Исследовательский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аккредитованные специалисты</w:t>
            </w:r>
          </w:p>
        </w:tc>
        <w:tc>
          <w:tcPr>
            <w:tcW w:type="dxa" w:w="4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расширенные данные и качественные копии</w:t>
            </w:r>
          </w:p>
        </w:tc>
      </w:tr>
      <w:tr>
        <w:tc>
          <w:tcPr>
            <w:tcW w:type="dxa" w:w="20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Хранительский</w:t>
            </w:r>
          </w:p>
        </w:tc>
        <w:tc>
          <w:tcPr>
            <w:tcW w:type="dxa" w:w="30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владельцы и операторы</w:t>
            </w:r>
          </w:p>
        </w:tc>
        <w:tc>
          <w:tcPr>
            <w:tcW w:type="dxa" w:w="436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состояние, события, доступы, договоры</w:t>
            </w:r>
          </w:p>
        </w:tc>
      </w:tr>
      <w:tr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Специальный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уполномоченные органы и советы</w:t>
            </w:r>
          </w:p>
        </w:tc>
        <w:tc>
          <w:tcPr>
            <w:tcW w:type="dxa" w:w="4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закрытые координаты, риски, ограничения</w:t>
            </w:r>
          </w:p>
        </w:tc>
      </w:tr>
    </w:tbl>
    <w:p>
      <w:pPr>
        <w:pStyle w:val="Caption"/>
        <w:keepLines/>
      </w:pPr>
      <w:r>
        <w:rPr>
          <w:rFonts w:ascii="Arial" w:hAnsi="Arial"/>
          <w:b w:val="0"/>
          <w:i w:val="0"/>
          <w:color w:val="12171D"/>
          <w:sz w:val="22"/>
        </w:rPr>
      </w:r>
    </w:p>
    <w:p>
      <w:r>
        <w:br w:type="page"/>
      </w:r>
    </w:p>
    <w:p>
      <w:pPr>
        <w:pStyle w:val="Heading1"/>
        <w:keepLines/>
      </w:pPr>
      <w:r>
        <w:rPr>
          <w:rFonts w:ascii="Arial" w:hAnsi="Arial"/>
          <w:b w:val="0"/>
          <w:i w:val="0"/>
          <w:color w:val="12171D"/>
          <w:sz w:val="22"/>
        </w:rPr>
        <w:t>19. Экономическая модель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Финансирование формируется из нескольких источников, чтобы общественная миссия не зависела от одного донора или коммерческого потока.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государственные и межгосударственные программы сохранения;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целевые фонды, эндаументы и благотворительные взносы;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членские взносы учреждений сети;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услуги хранения, оцифровки, экспертизы, страхования и логистики;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лицензирование образовательных цифровых продуктов;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корпоративные программы ответственности и меценатство;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целевые облигации и иные проверенные инструменты финансирования инфраструктуры.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2F4F6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2F80ED"/>
                <w:sz w:val="20"/>
              </w:rPr>
              <w:t xml:space="preserve">ОГРАНИЧЕНИЕ  </w:t>
            </w:r>
            <w:r>
              <w:rPr>
                <w:rFonts w:ascii="Arial" w:hAnsi="Arial"/>
                <w:b/>
                <w:i w:val="0"/>
                <w:color w:val="152433"/>
                <w:sz w:val="22"/>
              </w:rPr>
              <w:t>Коммерческое использование не должно создавать право распоряжаться объектом, подменять научную оценку или ограничивать законные права культурного сообщества.</w:t>
            </w:r>
          </w:p>
        </w:tc>
      </w:tr>
    </w:tbl>
    <w:p>
      <w:pPr>
        <w:pStyle w:val="Caption"/>
        <w:keepLines/>
      </w:pPr>
      <w:r>
        <w:rPr>
          <w:rFonts w:ascii="Arial" w:hAnsi="Arial"/>
          <w:b w:val="0"/>
          <w:i w:val="0"/>
          <w:color w:val="12171D"/>
          <w:sz w:val="22"/>
        </w:rPr>
      </w:r>
    </w:p>
    <w:p>
      <w:pPr>
        <w:pStyle w:val="Heading1"/>
        <w:keepLines/>
      </w:pPr>
      <w:r>
        <w:rPr>
          <w:rFonts w:ascii="Arial" w:hAnsi="Arial"/>
          <w:b w:val="0"/>
          <w:i w:val="0"/>
          <w:color w:val="12171D"/>
          <w:sz w:val="22"/>
        </w:rPr>
        <w:t>20. Этапы реализации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350"/>
        <w:gridCol w:w="1750"/>
        <w:gridCol w:w="5260"/>
      </w:tblGrid>
      <w:tr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Этап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Срок</w:t>
            </w:r>
          </w:p>
        </w:tc>
        <w:tc>
          <w:tcPr>
            <w:tcW w:type="dxa" w:w="5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Результат</w:t>
            </w:r>
          </w:p>
        </w:tc>
      </w:tr>
      <w:tr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1. Стандарт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0–6 месяцев</w:t>
            </w:r>
          </w:p>
        </w:tc>
        <w:tc>
          <w:tcPr>
            <w:tcW w:type="dxa" w:w="5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термины, паспорт, классы, этика, протоколы</w:t>
            </w:r>
          </w:p>
        </w:tc>
      </w:tr>
      <w:tr>
        <w:tc>
          <w:tcPr>
            <w:tcW w:type="dxa" w:w="235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2. Пилот</w:t>
            </w:r>
          </w:p>
        </w:tc>
        <w:tc>
          <w:tcPr>
            <w:tcW w:type="dxa" w:w="175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6–18 месяцев</w:t>
            </w:r>
          </w:p>
        </w:tc>
        <w:tc>
          <w:tcPr>
            <w:tcW w:type="dxa" w:w="526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три категории, несколько хранителей, цифровой реестр</w:t>
            </w:r>
          </w:p>
        </w:tc>
      </w:tr>
      <w:tr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3. Национальная сеть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18–36 месяцев</w:t>
            </w:r>
          </w:p>
        </w:tc>
        <w:tc>
          <w:tcPr>
            <w:tcW w:type="dxa" w:w="5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узлы, аккредитация, интеграция учреждений</w:t>
            </w:r>
          </w:p>
        </w:tc>
      </w:tr>
      <w:tr>
        <w:tc>
          <w:tcPr>
            <w:tcW w:type="dxa" w:w="235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4. Международная совместимость</w:t>
            </w:r>
          </w:p>
        </w:tc>
        <w:tc>
          <w:tcPr>
            <w:tcW w:type="dxa" w:w="175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3–5 лет</w:t>
            </w:r>
          </w:p>
        </w:tc>
        <w:tc>
          <w:tcPr>
            <w:tcW w:type="dxa" w:w="526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обмен паспортами, совместные учения и проекты</w:t>
            </w:r>
          </w:p>
        </w:tc>
      </w:tr>
      <w:tr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5. Планетарный индекс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5+ лет</w:t>
            </w:r>
          </w:p>
        </w:tc>
        <w:tc>
          <w:tcPr>
            <w:tcW w:type="dxa" w:w="5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глобальная карта наследия и система раннего предупреждения</w:t>
            </w:r>
          </w:p>
        </w:tc>
      </w:tr>
    </w:tbl>
    <w:p>
      <w:pPr>
        <w:pStyle w:val="Caption"/>
        <w:keepLines/>
      </w:pPr>
      <w:r>
        <w:rPr>
          <w:rFonts w:ascii="Arial" w:hAnsi="Arial"/>
          <w:b w:val="0"/>
          <w:i w:val="0"/>
          <w:color w:val="12171D"/>
          <w:sz w:val="22"/>
        </w:rPr>
      </w:r>
    </w:p>
    <w:p>
      <w:pPr>
        <w:pStyle w:val="Heading2"/>
        <w:keepLines/>
      </w:pPr>
      <w:r>
        <w:rPr>
          <w:rFonts w:ascii="Arial" w:hAnsi="Arial"/>
          <w:b w:val="0"/>
          <w:i w:val="0"/>
          <w:color w:val="12171D"/>
          <w:sz w:val="22"/>
        </w:rPr>
        <w:t>Рекомендуемый пилотный набор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рукописный или библиотечный фонд;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частная коллекция искусства или реликвий;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археологический комплекс или документированный клад;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образец нематериального наследия;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резерв научно-технологических знаний.</w:t>
      </w:r>
    </w:p>
    <w:p>
      <w:pPr>
        <w:pStyle w:val="Heading1"/>
        <w:keepLines/>
      </w:pPr>
      <w:r>
        <w:rPr>
          <w:rFonts w:ascii="Arial" w:hAnsi="Arial"/>
          <w:b w:val="0"/>
          <w:i w:val="0"/>
          <w:color w:val="12171D"/>
          <w:sz w:val="22"/>
        </w:rPr>
        <w:t>21. Показатели результата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Измерение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Примеры показателей</w:t>
            </w:r>
          </w:p>
        </w:tc>
      </w:tr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Охват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объекты, комплексы, языки, территории, хранители</w:t>
            </w:r>
          </w:p>
        </w:tc>
      </w:tr>
      <w:tr>
        <w:tc>
          <w:tcPr>
            <w:tcW w:type="dxa" w:w="25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Сохранность</w:t>
            </w:r>
          </w:p>
        </w:tc>
        <w:tc>
          <w:tcPr>
            <w:tcW w:type="dxa" w:w="686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снижение рисков, состояние, число предотвращённых утрат</w:t>
            </w:r>
          </w:p>
        </w:tc>
      </w:tr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Доказательность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доля полных паспортов и проверенных цепочек происхождения</w:t>
            </w:r>
          </w:p>
        </w:tc>
      </w:tr>
      <w:tr>
        <w:tc>
          <w:tcPr>
            <w:tcW w:type="dxa" w:w="25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Цифровая устойчивость</w:t>
            </w:r>
          </w:p>
        </w:tc>
        <w:tc>
          <w:tcPr>
            <w:tcW w:type="dxa" w:w="686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число независимых копий, успешные восстановления</w:t>
            </w:r>
          </w:p>
        </w:tc>
      </w:tr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Доступ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исследовательские обращения, образовательные программы</w:t>
            </w:r>
          </w:p>
        </w:tc>
      </w:tr>
      <w:tr>
        <w:tc>
          <w:tcPr>
            <w:tcW w:type="dxa" w:w="25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Справедливость</w:t>
            </w:r>
          </w:p>
        </w:tc>
        <w:tc>
          <w:tcPr>
            <w:tcW w:type="dxa" w:w="686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участие сообществ, реституции, урегулированные споры</w:t>
            </w:r>
          </w:p>
        </w:tc>
      </w:tr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Готовность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результаты учений и время восстановления критических знаний</w:t>
            </w:r>
          </w:p>
        </w:tc>
      </w:tr>
    </w:tbl>
    <w:p>
      <w:pPr>
        <w:pStyle w:val="Caption"/>
        <w:keepLines/>
      </w:pPr>
      <w:r>
        <w:rPr>
          <w:rFonts w:ascii="Arial" w:hAnsi="Arial"/>
          <w:b w:val="0"/>
          <w:i w:val="0"/>
          <w:color w:val="12171D"/>
          <w:sz w:val="22"/>
        </w:rPr>
      </w:r>
    </w:p>
    <w:p>
      <w:pPr>
        <w:pStyle w:val="Heading1"/>
      </w:pPr>
      <w:r>
        <w:t>22. Интеграционная экосистема платформы</w:t>
      </w:r>
    </w:p>
    <w:p>
      <w:pPr>
        <w:pStyle w:val="Lead"/>
      </w:pPr>
      <w:r>
        <w:t>Платформа объединяет физическое хранение, цифровой паспорт объекта, защищённую логистику, страхование, государственную идентификацию и регулируемые инвестиционные механизмы. Интеграции подключаются через единое ядро «Наследие Connect», а партнерские сервисы получают только необходимый минимум данных.</w:t>
      </w:r>
    </w:p>
    <w:p>
      <w:pPr>
        <w:pStyle w:val="Heading2"/>
      </w:pPr>
      <w:r>
        <w:t>22.1. Интеграционное ядро «Наследие Connect»</w:t>
      </w:r>
    </w:p>
    <w:p>
      <w:pPr>
        <w:pStyle w:val="ListBullet"/>
      </w:pPr>
      <w:r>
        <w:t>единый идентификатор и цифровой паспорт объекта, партии или коллекции;</w:t>
      </w:r>
    </w:p>
    <w:p>
      <w:pPr>
        <w:pStyle w:val="ListBullet"/>
      </w:pPr>
      <w:r>
        <w:t>API-шлюз для партнеров, управление согласиями и ролями доступа;</w:t>
      </w:r>
    </w:p>
    <w:p>
      <w:pPr>
        <w:pStyle w:val="ListBullet"/>
      </w:pPr>
      <w:r>
        <w:t>журнал происхождения, приемки, перемещений, осмотров и страховых событий;</w:t>
      </w:r>
    </w:p>
    <w:p>
      <w:pPr>
        <w:pStyle w:val="ListBullet"/>
      </w:pPr>
      <w:r>
        <w:t>модуль маршрутизации с учетом ценности, правового режима и условий среды;</w:t>
      </w:r>
    </w:p>
    <w:p>
      <w:pPr>
        <w:pStyle w:val="ListBullet"/>
      </w:pPr>
      <w:r>
        <w:t>расчет тарифа, страхового покрытия, таможенных платежей и сроков;</w:t>
      </w:r>
    </w:p>
    <w:p>
      <w:pPr>
        <w:pStyle w:val="ListBullet"/>
      </w:pPr>
      <w:r>
        <w:t>электронная подпись, неизменяемый журнал операций и независимый аудит.</w:t>
      </w:r>
    </w:p>
    <w:p>
      <w:pPr>
        <w:pStyle w:val="Heading2"/>
      </w:pPr>
      <w:r>
        <w:t>22.2. Каналы и партнерские контуры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50"/>
        <w:gridCol w:w="2100"/>
        <w:gridCol w:w="3000"/>
        <w:gridCol w:w="2710"/>
      </w:tblGrid>
      <w:tr>
        <w:trPr>
          <w:tblHeader w:val="true"/>
        </w:trPr>
        <w:tc>
          <w:tcPr>
            <w:tcW w:type="dxa" w:w="1550"/>
            <w:shd w:fill="DCE6F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1F4E79"/>
              </w:rPr>
              <w:t>Контур</w:t>
            </w:r>
          </w:p>
        </w:tc>
        <w:tc>
          <w:tcPr>
            <w:tcW w:type="dxa" w:w="2100"/>
            <w:shd w:fill="DCE6F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1F4E79"/>
              </w:rPr>
              <w:t>Роль в системе</w:t>
            </w:r>
          </w:p>
        </w:tc>
        <w:tc>
          <w:tcPr>
            <w:tcW w:type="dxa" w:w="3000"/>
            <w:shd w:fill="DCE6F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1F4E79"/>
              </w:rPr>
              <w:t>Механизм подключения</w:t>
            </w:r>
          </w:p>
        </w:tc>
        <w:tc>
          <w:tcPr>
            <w:tcW w:type="dxa" w:w="2710"/>
            <w:shd w:fill="DCE6F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1F4E79"/>
              </w:rPr>
              <w:t>Ключевое ограничение</w:t>
            </w:r>
          </w:p>
        </w:tc>
      </w:tr>
      <w:tr>
        <w:tc>
          <w:tcPr>
            <w:tcW w:type="dxa" w:w="15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Яндекс Go и локальные курьеры</w:t>
            </w:r>
          </w:p>
        </w:tc>
        <w:tc>
          <w:tcPr>
            <w:tcW w:type="dxa" w:w="2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Последняя миля, вывоз и возврат</w:t>
            </w:r>
          </w:p>
        </w:tc>
        <w:tc>
          <w:tcPr>
            <w:tcW w:type="dxa" w:w="30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Заказ защищённого тарифа, трекинг, подтверждение личности и передачи</w:t>
            </w:r>
          </w:p>
        </w:tc>
        <w:tc>
          <w:tcPr>
            <w:tcW w:type="dxa" w:w="271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Только допустимые классы; ценные объекты — через специализированных перевозчиков</w:t>
            </w:r>
          </w:p>
        </w:tc>
      </w:tr>
      <w:tr>
        <w:tc>
          <w:tcPr>
            <w:tcW w:type="dxa" w:w="15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Wildberries, Ozon, Alibaba</w:t>
            </w:r>
          </w:p>
        </w:tc>
        <w:tc>
          <w:tcPr>
            <w:tcW w:type="dxa" w:w="2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Витрина разрешённых услуг и товаров, международный спрос</w:t>
            </w:r>
          </w:p>
        </w:tc>
        <w:tc>
          <w:tcPr>
            <w:tcW w:type="dxa" w:w="30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Карточка из цифрового паспорта, заказ хранения, реставрации, цифровой копии</w:t>
            </w:r>
          </w:p>
        </w:tc>
        <w:tc>
          <w:tcPr>
            <w:tcW w:type="dxa" w:w="271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Не допускать свободную продажу объектов с ограниченным оборотом</w:t>
            </w:r>
          </w:p>
        </w:tc>
      </w:tr>
      <w:tr>
        <w:tc>
          <w:tcPr>
            <w:tcW w:type="dxa" w:w="15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Почтовые операторы</w:t>
            </w:r>
          </w:p>
        </w:tc>
        <w:tc>
          <w:tcPr>
            <w:tcW w:type="dxa" w:w="2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Документы, малые отправления, уведомления</w:t>
            </w:r>
          </w:p>
        </w:tc>
        <w:tc>
          <w:tcPr>
            <w:tcW w:type="dxa" w:w="30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Трекинг, электронные накладные, опись, объявленная ценность</w:t>
            </w:r>
          </w:p>
        </w:tc>
        <w:tc>
          <w:tcPr>
            <w:tcW w:type="dxa" w:w="271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Предметы искусства и драгоценности — только по специальным правилам</w:t>
            </w:r>
          </w:p>
        </w:tc>
      </w:tr>
      <w:tr>
        <w:tc>
          <w:tcPr>
            <w:tcW w:type="dxa" w:w="15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Авиа- и железнодорожные перевозчики</w:t>
            </w:r>
          </w:p>
        </w:tc>
        <w:tc>
          <w:tcPr>
            <w:tcW w:type="dxa" w:w="2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Межрегиональная и международная магистраль</w:t>
            </w:r>
          </w:p>
        </w:tc>
        <w:tc>
          <w:tcPr>
            <w:tcW w:type="dxa" w:w="30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Бронирование, грузовой манифест, контроль среды, пломбирование</w:t>
            </w:r>
          </w:p>
        </w:tc>
        <w:tc>
          <w:tcPr>
            <w:tcW w:type="dxa" w:w="271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Экспортный контроль, таможня, опасные и негабаритные грузы</w:t>
            </w:r>
          </w:p>
        </w:tc>
      </w:tr>
      <w:tr>
        <w:tc>
          <w:tcPr>
            <w:tcW w:type="dxa" w:w="15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Страховые компании</w:t>
            </w:r>
          </w:p>
        </w:tc>
        <w:tc>
          <w:tcPr>
            <w:tcW w:type="dxa" w:w="2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Покрытие хранения и перевозки</w:t>
            </w:r>
          </w:p>
        </w:tc>
        <w:tc>
          <w:tcPr>
            <w:tcW w:type="dxa" w:w="30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Расчет риска по паспорту, электронный полис, урегулирование события</w:t>
            </w:r>
          </w:p>
        </w:tc>
        <w:tc>
          <w:tcPr>
            <w:tcW w:type="dxa" w:w="271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Независимая оценка, исключения и лимиты должны быть прозрачны</w:t>
            </w:r>
          </w:p>
        </w:tc>
      </w:tr>
      <w:tr>
        <w:tc>
          <w:tcPr>
            <w:tcW w:type="dxa" w:w="15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WeChat</w:t>
            </w:r>
          </w:p>
        </w:tc>
        <w:tc>
          <w:tcPr>
            <w:tcW w:type="dxa" w:w="2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Канал доступа для международных клиентов</w:t>
            </w:r>
          </w:p>
        </w:tc>
        <w:tc>
          <w:tcPr>
            <w:tcW w:type="dxa" w:w="30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Мини-приложение, уведомления, оплата разрешённых услуг</w:t>
            </w:r>
          </w:p>
        </w:tc>
        <w:tc>
          <w:tcPr>
            <w:tcW w:type="dxa" w:w="271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Локализация данных и проверка трансграничных требований</w:t>
            </w:r>
          </w:p>
        </w:tc>
      </w:tr>
      <w:tr>
        <w:tc>
          <w:tcPr>
            <w:tcW w:type="dxa" w:w="15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Госуслуги и МФЦ «Мои документы»</w:t>
            </w:r>
          </w:p>
        </w:tc>
        <w:tc>
          <w:tcPr>
            <w:tcW w:type="dxa" w:w="2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Идентификация, заявления, доверенности и статусы</w:t>
            </w:r>
          </w:p>
        </w:tc>
        <w:tc>
          <w:tcPr>
            <w:tcW w:type="dxa" w:w="30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ЕСИА/СМЭВ при наличии правовых оснований, очная верификация через МФЦ</w:t>
            </w:r>
          </w:p>
        </w:tc>
        <w:tc>
          <w:tcPr>
            <w:tcW w:type="dxa" w:w="271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Только официальные интеграции и минимизация персональных данных</w:t>
            </w:r>
          </w:p>
        </w:tc>
      </w:tr>
    </w:tbl>
    <w:p>
      <w:pPr>
        <w:pStyle w:val="Heading2"/>
      </w:pPr>
      <w:r>
        <w:t>22.3. Сквозной сценарий движения объекта</w:t>
      </w:r>
    </w:p>
    <w:p>
      <w:pPr>
        <w:pStyle w:val="ListNumber"/>
      </w:pPr>
      <w:r>
        <w:t>Регистрация: владелец проходит идентификацию и создает предварительную карточку.</w:t>
      </w:r>
    </w:p>
    <w:p>
      <w:pPr>
        <w:pStyle w:val="ListNumber"/>
      </w:pPr>
      <w:r>
        <w:t>Экспертиза: подтверждаются подлинность, происхождение, право владения и ограничения оборота.</w:t>
      </w:r>
    </w:p>
    <w:p>
      <w:pPr>
        <w:pStyle w:val="ListNumber"/>
      </w:pPr>
      <w:r>
        <w:t>Классификация: объект получает категорию ценности, режим доступа и требования к перевозке и среде.</w:t>
      </w:r>
    </w:p>
    <w:p>
      <w:pPr>
        <w:pStyle w:val="ListNumber"/>
      </w:pPr>
      <w:r>
        <w:t>Логистика: система формирует маршрут, выбирает перевозчика, пломбы, сопровождение и таможенную схему.</w:t>
      </w:r>
    </w:p>
    <w:p>
      <w:pPr>
        <w:pStyle w:val="ListNumber"/>
      </w:pPr>
      <w:r>
        <w:t>Приемка: депозитарий фиксирует состояние, массу, фото, упаковку и контрольные признаки.</w:t>
      </w:r>
    </w:p>
    <w:p>
      <w:pPr>
        <w:pStyle w:val="ListNumber"/>
      </w:pPr>
      <w:r>
        <w:t>Хранение: сенсоры, осмотры и события автоматически дополняют цифровой паспорт.</w:t>
      </w:r>
    </w:p>
    <w:p>
      <w:pPr>
        <w:pStyle w:val="ListNumber"/>
      </w:pPr>
      <w:r>
        <w:t>Доступ или выпуск: объект возвращается владельцу, предоставляется для исследования/выставки либо становится обеспечением разрешенного финансового инструмента.</w:t>
      </w:r>
    </w:p>
    <w:p>
      <w:pPr>
        <w:pStyle w:val="Heading2"/>
      </w:pPr>
      <w:r>
        <w:t>22.4. Инвестиционный контур длительного хранения</w:t>
      </w:r>
    </w:p>
    <w:p>
      <w:pPr/>
      <w:r>
        <w:t>Финансовый продукт выпускается не «из вещи», а из юридически оформленного права или денежного потока. Объект остается в независимом хранении, а инвестор получает ценную бумагу, цифровое финансовое право, пай или иное регулируемое требование.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760"/>
        <w:gridCol w:w="2580"/>
        <w:gridCol w:w="2250"/>
        <w:gridCol w:w="2770"/>
      </w:tblGrid>
      <w:tr>
        <w:trPr>
          <w:tblHeader w:val="true"/>
        </w:trPr>
        <w:tc>
          <w:tcPr>
            <w:tcW w:type="dxa" w:w="1760"/>
            <w:shd w:fill="DCE6F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1F4E79"/>
              </w:rPr>
              <w:t>Инструмент</w:t>
            </w:r>
          </w:p>
        </w:tc>
        <w:tc>
          <w:tcPr>
            <w:tcW w:type="dxa" w:w="2580"/>
            <w:shd w:fill="DCE6F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1F4E79"/>
              </w:rPr>
              <w:t>Экономическая основа</w:t>
            </w:r>
          </w:p>
        </w:tc>
        <w:tc>
          <w:tcPr>
            <w:tcW w:type="dxa" w:w="2250"/>
            <w:shd w:fill="DCE6F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1F4E79"/>
              </w:rPr>
              <w:t>Подходящие активы</w:t>
            </w:r>
          </w:p>
        </w:tc>
        <w:tc>
          <w:tcPr>
            <w:tcW w:type="dxa" w:w="2770"/>
            <w:shd w:fill="DCE6F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1F4E79"/>
              </w:rPr>
              <w:t>Защитный механизм</w:t>
            </w:r>
          </w:p>
        </w:tc>
      </w:tr>
      <w:tr>
        <w:tc>
          <w:tcPr>
            <w:tcW w:type="dxa" w:w="17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Облигации оператора или SPV</w:t>
            </w:r>
          </w:p>
        </w:tc>
        <w:tc>
          <w:tcPr>
            <w:tcW w:type="dxa" w:w="25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Доходы от хранения, аренды, лицензий или эксплуатации инфраструктуры</w:t>
            </w:r>
          </w:p>
        </w:tc>
        <w:tc>
          <w:tcPr>
            <w:tcW w:type="dxa" w:w="22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Портфель договоров и предсказуемые денежные потоки</w:t>
            </w:r>
          </w:p>
        </w:tc>
        <w:tc>
          <w:tcPr>
            <w:tcW w:type="dxa" w:w="27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Залог/уступка прав, ковенанты, резерв, аудит</w:t>
            </w:r>
          </w:p>
        </w:tc>
      </w:tr>
      <w:tr>
        <w:tc>
          <w:tcPr>
            <w:tcW w:type="dxa" w:w="17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Цифровые финансовые активы</w:t>
            </w:r>
          </w:p>
        </w:tc>
        <w:tc>
          <w:tcPr>
            <w:tcW w:type="dxa" w:w="25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Денежное требование или право, описанное в решении о выпуске</w:t>
            </w:r>
          </w:p>
        </w:tc>
        <w:tc>
          <w:tcPr>
            <w:tcW w:type="dxa" w:w="22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Стандартизированный пул оцененных активов</w:t>
            </w:r>
          </w:p>
        </w:tc>
        <w:tc>
          <w:tcPr>
            <w:tcW w:type="dxa" w:w="27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Оператор информационной системы, раскрытие рисков, реестр прав</w:t>
            </w:r>
          </w:p>
        </w:tc>
      </w:tr>
      <w:tr>
        <w:tc>
          <w:tcPr>
            <w:tcW w:type="dxa" w:w="17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Закрытый паевой фонд</w:t>
            </w:r>
          </w:p>
        </w:tc>
        <w:tc>
          <w:tcPr>
            <w:tcW w:type="dxa" w:w="25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Доля в имущественном комплексе и доходах фонда</w:t>
            </w:r>
          </w:p>
        </w:tc>
        <w:tc>
          <w:tcPr>
            <w:tcW w:type="dxa" w:w="22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Недвижимость, коллекции и иные допустимые активы</w:t>
            </w:r>
          </w:p>
        </w:tc>
        <w:tc>
          <w:tcPr>
            <w:tcW w:type="dxa" w:w="27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Управляющая компания, спецдепозитарий, оценщик и аудитор</w:t>
            </w:r>
          </w:p>
        </w:tc>
      </w:tr>
      <w:tr>
        <w:tc>
          <w:tcPr>
            <w:tcW w:type="dxa" w:w="17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Складское/залоговое свидетельство</w:t>
            </w:r>
          </w:p>
        </w:tc>
        <w:tc>
          <w:tcPr>
            <w:tcW w:type="dxa" w:w="25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Право требования к идентифицированному товару или залогу</w:t>
            </w:r>
          </w:p>
        </w:tc>
        <w:tc>
          <w:tcPr>
            <w:tcW w:type="dxa" w:w="22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Стандартизируемые товары длительного хранения</w:t>
            </w:r>
          </w:p>
        </w:tc>
        <w:tc>
          <w:tcPr>
            <w:tcW w:type="dxa" w:w="27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Лицензированный склад, контроль качества, страхование</w:t>
            </w:r>
          </w:p>
        </w:tc>
      </w:tr>
      <w:tr>
        <w:tc>
          <w:tcPr>
            <w:tcW w:type="dxa" w:w="17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Секьюритизация портфеля</w:t>
            </w:r>
          </w:p>
        </w:tc>
        <w:tc>
          <w:tcPr>
            <w:tcW w:type="dxa" w:w="25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Пул контрактных платежей</w:t>
            </w:r>
          </w:p>
        </w:tc>
        <w:tc>
          <w:tcPr>
            <w:tcW w:type="dxa" w:w="22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Крупный диверсифицированный портфель хранения и сервисов</w:t>
            </w:r>
          </w:p>
        </w:tc>
        <w:tc>
          <w:tcPr>
            <w:tcW w:type="dxa" w:w="27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sz w:val="18"/>
              </w:rPr>
              <w:t>SPV, водопад платежей, резервирование и отчетность</w:t>
            </w:r>
          </w:p>
        </w:tc>
      </w:tr>
    </w:tbl>
    <w:p>
      <w:pPr>
        <w:pStyle w:val="Heading3"/>
      </w:pPr>
      <w:r>
        <w:t>Обязательная институциональная схема</w:t>
      </w:r>
    </w:p>
    <w:p>
      <w:pPr>
        <w:pStyle w:val="ListBullet"/>
      </w:pPr>
      <w:r>
        <w:t>отдельный SPV или фонд, не смешивающий активы клиентов с имуществом оператора;</w:t>
      </w:r>
    </w:p>
    <w:p>
      <w:pPr>
        <w:pStyle w:val="ListBullet"/>
      </w:pPr>
      <w:r>
        <w:t>независимые хранитель, оценщик, страховщик, аудитор и депозитарий/оператор учета прав;</w:t>
      </w:r>
    </w:p>
    <w:p>
      <w:pPr>
        <w:pStyle w:val="ListBullet"/>
      </w:pPr>
      <w:r>
        <w:t>полный паспорт обеспечения: происхождение, право, состояние, оценка, ограничения и страхование;</w:t>
      </w:r>
    </w:p>
    <w:p>
      <w:pPr>
        <w:pStyle w:val="ListBullet"/>
      </w:pPr>
      <w:r>
        <w:t>регулярная переоценка, стресс-тест ликвидности и публичное раскрытие существенных событий;</w:t>
      </w:r>
    </w:p>
    <w:p>
      <w:pPr>
        <w:pStyle w:val="ListBullet"/>
      </w:pPr>
      <w:r>
        <w:t>запрет двойного залога и автоматическая блокировка распоряжения обеспечением на срок выпуска.</w:t>
      </w:r>
    </w:p>
    <w:p>
      <w:pPr>
        <w:pStyle w:val="Heading3"/>
      </w:pPr>
      <w:r>
        <w:t>Красная зона: что нельзя автоматически монетизировать</w:t>
      </w:r>
    </w:p>
    <w:p>
      <w:pPr>
        <w:pStyle w:val="ListBullet"/>
      </w:pPr>
      <w:r>
        <w:t>объекты культурного наследия с запретом или ограничением отчуждения и вывоза;</w:t>
      </w:r>
    </w:p>
    <w:p>
      <w:pPr>
        <w:pStyle w:val="ListBullet"/>
      </w:pPr>
      <w:r>
        <w:t>сакральные предметы, человеческие останки и наследие общин без их свободного предварительного согласия;</w:t>
      </w:r>
    </w:p>
    <w:p>
      <w:pPr>
        <w:pStyle w:val="ListBullet"/>
      </w:pPr>
      <w:r>
        <w:t>спорные, похищенные, незаконно вывезенные или имеющие разрыв происхождения ценности;</w:t>
      </w:r>
    </w:p>
    <w:p>
      <w:pPr>
        <w:pStyle w:val="ListBullet"/>
      </w:pPr>
      <w:r>
        <w:t>государственные музейные, архивные и библиотечные фонды, если специальный закон не допускает выбранную модель;</w:t>
      </w:r>
    </w:p>
    <w:p>
      <w:pPr>
        <w:pStyle w:val="ListBullet"/>
      </w:pPr>
      <w:r>
        <w:t>объекты, оценка и ликвидность которых не позволяют честно раскрыть риск инвестору.</w:t>
      </w:r>
    </w:p>
    <w:p>
      <w:pPr>
        <w:pStyle w:val="Heading2"/>
      </w:pPr>
      <w:r>
        <w:t>22.5. Порядок запуска</w:t>
      </w:r>
    </w:p>
    <w:p>
      <w:pPr>
        <w:pStyle w:val="ListNumber"/>
      </w:pPr>
      <w:r>
        <w:t>Пилот: идентификация, цифровой паспорт, один депозитарий, один страховщик и один специализированный перевозчик.</w:t>
      </w:r>
    </w:p>
    <w:p>
      <w:pPr>
        <w:pStyle w:val="ListNumber"/>
      </w:pPr>
      <w:r>
        <w:t>Логистическая сеть: подключение почтовых, курьерских, авиа- и железнодорожных операторов по категориям допуска.</w:t>
      </w:r>
    </w:p>
    <w:p>
      <w:pPr>
        <w:pStyle w:val="ListNumber"/>
      </w:pPr>
      <w:r>
        <w:t>Каналы спроса: маркетплейсы и WeChat для продажи разрешённых услуг, цифровых копий и тиражных продуктов.</w:t>
      </w:r>
    </w:p>
    <w:p>
      <w:pPr>
        <w:pStyle w:val="ListNumber"/>
      </w:pPr>
      <w:r>
        <w:t>Государственный контур: заявления и статусы через официальные шлюзы, очная поддержка через МФЦ.</w:t>
      </w:r>
    </w:p>
    <w:p>
      <w:pPr>
        <w:pStyle w:val="ListNumber"/>
      </w:pPr>
      <w:r>
        <w:t>Финансовый пилот: выпуск инструмента только на стандартизированном портфеле с независимым хранением и подтвержденным денежным потоком.</w:t>
      </w:r>
    </w:p>
    <w:p>
      <w:pPr>
        <w:pStyle w:val="Lead"/>
      </w:pPr>
      <w:r>
        <w:t>Практический принцип запуска: сначала юридическая чистота, учет и контроль сохранности; затем логистика и сервисная выручка; только после накопления проверяемой истории — инвестиционный выпуск.</w:t>
      </w:r>
    </w:p>
    <w:p>
      <w:pPr>
        <w:pStyle w:val="Heading1"/>
        <w:keepLines/>
      </w:pPr>
      <w:r>
        <w:t>23. Итоговое позиционирование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«Архив сохранения наследия» — это память Цивилизации, организованная как живая система. Он соединяет клад и библиотеку, музей и дата-центр, хранителя традиции и исследователя, государство и частного владельца, прошлое и будущее.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DCEFFC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2F80ED"/>
                <w:sz w:val="20"/>
              </w:rPr>
              <w:t xml:space="preserve">ГЛАВНЫЙ ПРИНЦИП  </w:t>
            </w:r>
            <w:r>
              <w:rPr>
                <w:rFonts w:ascii="Arial" w:hAnsi="Arial"/>
                <w:b/>
                <w:i w:val="0"/>
                <w:color w:val="152433"/>
                <w:sz w:val="22"/>
              </w:rPr>
              <w:t>Наследие принадлежит конкретным народам, культурам и хранителям, но его сохранение является общей ответственностью человечества.</w:t>
            </w:r>
          </w:p>
        </w:tc>
      </w:tr>
    </w:tbl>
    <w:p>
      <w:pPr>
        <w:pStyle w:val="Caption"/>
        <w:keepLines/>
      </w:pPr>
      <w:r>
        <w:rPr>
          <w:rFonts w:ascii="Arial" w:hAnsi="Arial"/>
          <w:b w:val="0"/>
          <w:i w:val="0"/>
          <w:color w:val="12171D"/>
          <w:sz w:val="22"/>
        </w:rPr>
      </w:r>
    </w:p>
    <w:p>
      <w:pPr>
        <w:pStyle w:val="Lead"/>
        <w:keepLines/>
      </w:pPr>
      <w:r>
        <w:rPr>
          <w:rFonts w:ascii="Arial" w:hAnsi="Arial"/>
          <w:b w:val="0"/>
          <w:i w:val="0"/>
          <w:color w:val="12171D"/>
          <w:sz w:val="22"/>
        </w:rPr>
        <w:t>Архив не превращает наследие в склад. Он обеспечивает ему продолжение жизни: сохраняет подлинность, объясняет смысл, защищает право, открывает знание и передаёт память тем, кто придёт после нас.</w:t>
      </w:r>
    </w:p>
    <w:p>
      <w:pPr>
        <w:pStyle w:val="Caption"/>
        <w:keepLines/>
      </w:pPr>
      <w:r>
        <w:rPr>
          <w:rFonts w:ascii="Arial" w:hAnsi="Arial"/>
          <w:b w:val="0"/>
          <w:i w:val="0"/>
          <w:color w:val="12171D"/>
          <w:sz w:val="22"/>
        </w:rPr>
      </w:r>
    </w:p>
    <w:p>
      <w:pPr>
        <w:keepLines/>
        <w:jc w:val="center"/>
      </w:pPr>
      <w:r>
        <w:rPr>
          <w:rFonts w:ascii="Arial" w:hAnsi="Arial"/>
          <w:b/>
          <w:i w:val="0"/>
          <w:color w:val="2F80ED"/>
          <w:sz w:val="28"/>
        </w:rPr>
        <w:t>НАСЛЕДИЕ ЦИВИЛИЗАЦИЙ</w:t>
      </w:r>
    </w:p>
    <w:p>
      <w:pPr>
        <w:keepLines/>
        <w:jc w:val="center"/>
      </w:pPr>
      <w:r>
        <w:rPr>
          <w:rFonts w:ascii="Arial" w:hAnsi="Arial"/>
          <w:b/>
          <w:i w:val="0"/>
          <w:color w:val="152433"/>
          <w:sz w:val="26"/>
        </w:rPr>
        <w:t>Сохраняем память Земли — обеспечиваем непрерывность будущего.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b w:val="0"/>
        <w:i w:val="0"/>
        <w:color w:val="66707A"/>
        <w:sz w:val="16"/>
      </w:rPr>
      <w:t>Стратегическая концепция ·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rial" w:hAnsi="Arial"/>
        <w:b/>
        <w:i w:val="0"/>
        <w:color w:val="66707A"/>
        <w:sz w:val="16"/>
      </w:rPr>
      <w:t>АРХИВ СОХРАНЕНИЯ НАСЛЕДИЯ  |  НАСЛЕДИЕ ЦИВИЛИЗАЦИЙ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60" w:line="319" w:lineRule="auto"/>
    </w:pPr>
    <w:rPr>
      <w:rFonts w:ascii="Arial" w:hAnsi="Arial"/>
      <w:b w:val="0"/>
      <w:color w:val="12171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64" w:lineRule="auto"/>
      <w:outlineLvl w:val="0"/>
    </w:pPr>
    <w:rPr>
      <w:rFonts w:asciiTheme="majorHAnsi" w:eastAsiaTheme="majorEastAsia" w:hAnsiTheme="majorHAnsi" w:cstheme="majorBidi" w:ascii="Arial" w:hAnsi="Arial"/>
      <w:b/>
      <w:bCs/>
      <w:color w:val="2F80E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 w:line="264" w:lineRule="auto"/>
      <w:outlineLvl w:val="1"/>
    </w:pPr>
    <w:rPr>
      <w:rFonts w:asciiTheme="majorHAnsi" w:eastAsiaTheme="majorEastAsia" w:hAnsiTheme="majorHAnsi" w:cstheme="majorBidi" w:ascii="Arial" w:hAnsi="Arial"/>
      <w:b/>
      <w:bCs/>
      <w:color w:val="15243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64" w:lineRule="auto"/>
      <w:outlineLvl w:val="2"/>
    </w:pPr>
    <w:rPr>
      <w:rFonts w:asciiTheme="majorHAnsi" w:eastAsiaTheme="majorEastAsia" w:hAnsiTheme="majorHAnsi" w:cstheme="majorBidi" w:ascii="Arial" w:hAnsi="Arial"/>
      <w:b/>
      <w:bCs/>
      <w:color w:val="152433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76" w:lineRule="auto" w:before="0" w:after="120"/>
    </w:pPr>
    <w:rPr>
      <w:rFonts w:ascii="Arial" w:hAnsi="Arial"/>
      <w:b w:val="0"/>
      <w:bCs/>
      <w:color w:val="66707A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ad">
    <w:name w:val="Lead"/>
    <w:pPr>
      <w:spacing w:before="0" w:after="240" w:line="276" w:lineRule="auto"/>
    </w:pPr>
    <w:rPr>
      <w:rFonts w:ascii="Arial" w:hAnsi="Arial"/>
      <w:b w:val="0"/>
      <w:color w:val="152433"/>
      <w:sz w:val="26"/>
    </w:rPr>
  </w:style>
  <w:style w:type="paragraph" w:customStyle="1" w:styleId="Kicker">
    <w:name w:val="Kicker"/>
    <w:pPr>
      <w:spacing w:before="0" w:after="80" w:line="276" w:lineRule="auto"/>
    </w:pPr>
    <w:rPr>
      <w:rFonts w:ascii="Arial" w:hAnsi="Arial"/>
      <w:b/>
      <w:color w:val="2F80ED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Архив сохранения наследия</dc:title>
  <dc:subject>Планетарная система сохранения наследия цивилизаций</dc:subject>
  <dc:creator>Соколов Сергей Леонидович · SOKOL EQUILIBRIS</dc:creator>
  <cp:keywords>наследие, архив, цивилизации, клады, схроны, библиотеки, репозитории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