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spacing w:before="160"/>
      </w:pPr>
      <w:r>
        <w:rPr>
          <w:rFonts w:ascii="Calibri" w:hAnsi="Calibri" w:eastAsia="Calibri" w:cs="Calibri"/>
          <w:b/>
          <w:i w:val="0"/>
          <w:color w:val="2E74B5"/>
          <w:sz w:val="20"/>
        </w:rPr>
        <w:t>СТРАТЕГИЧЕСКАЯ КОНЦЕПЦИЯ • 2026</w:t>
      </w:r>
    </w:p>
    <w:p>
      <w:pPr>
        <w:pStyle w:val="Title"/>
        <w:spacing w:before="140"/>
      </w:pPr>
      <w:r>
        <w:rPr>
          <w:rFonts w:ascii="Calibri" w:hAnsi="Calibri" w:eastAsia="Calibri" w:cs="Calibri"/>
          <w:b/>
          <w:i w:val="0"/>
          <w:color w:val="17365D"/>
          <w:sz w:val="58"/>
        </w:rPr>
        <w:t>Архив сохранения наследия</w:t>
        <w:br/>
      </w:r>
      <w:r>
        <w:rPr>
          <w:rFonts w:ascii="Calibri" w:hAnsi="Calibri" w:eastAsia="Calibri" w:cs="Calibri"/>
          <w:b/>
          <w:i w:val="0"/>
          <w:color w:val="2E74B5"/>
          <w:sz w:val="46"/>
        </w:rPr>
        <w:t>Интеграция с академической средой</w:t>
      </w:r>
    </w:p>
    <w:p>
      <w:pPr>
        <w:spacing w:after="200"/>
      </w:pPr>
      <w:r>
        <w:rPr>
          <w:rFonts w:ascii="Calibri" w:hAnsi="Calibri" w:eastAsia="Calibri" w:cs="Calibri"/>
          <w:b/>
          <w:i w:val="0"/>
          <w:color w:val="1F4D78"/>
          <w:sz w:val="28"/>
        </w:rPr>
        <w:t>ВОЗРОЖДЕНИЕ ЗЕМЛИ • АКАДЕМИЧЕСКИЕ РЕЕСТРЫ</w:t>
      </w:r>
    </w:p>
    <w:p>
      <w:pPr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943600" cy="3962400"/>
            <wp:docPr id="1" name="Picture 1" descr="Современное хранилище научного и культурного наследия, связанное с исследовательской сред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2e511756-8d08-4176-9bdf-edf527d84e7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5B6573"/>
                <w:sz w:val="18"/>
              </w:rPr>
              <w:t>Подготовлено для</w:t>
              <w:br/>
              <w:t>Сергея Леонидовича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9" w:lineRule="auto"/>
              <w:jc w:val="right"/>
            </w:pPr>
            <w:r/>
            <w:r>
              <w:rPr>
                <w:rFonts w:ascii="Calibri" w:hAnsi="Calibri" w:eastAsia="Calibri" w:cs="Calibri"/>
                <w:b/>
                <w:i w:val="0"/>
                <w:color w:val="5B6573"/>
                <w:sz w:val="18"/>
              </w:rPr>
              <w:t>Рабочая версия</w:t>
              <w:br/>
              <w:t>26 августа 2026 года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01</w:t>
      </w:r>
    </w:p>
    <w:p>
      <w:pPr>
        <w:pStyle w:val="Heading1"/>
      </w:pPr>
      <w:r>
        <w:t>Решение, которое предлагается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Создать распределённый архив, где сохранность, происхождение и научное использование образуют один управляемый контур.</w:t>
      </w:r>
    </w:p>
    <w:p>
      <w:pPr>
        <w:pStyle w:val="QuoteBox"/>
      </w:pPr>
      <w:r>
        <w:rPr>
          <w:rFonts w:ascii="Calibri" w:hAnsi="Calibri" w:eastAsia="Calibri" w:cs="Calibri"/>
          <w:b/>
          <w:i w:val="0"/>
          <w:color w:val="17365D"/>
          <w:sz w:val="24"/>
        </w:rPr>
        <w:t>Архив — не склад цифровых копий. Это доверенная инфраструктура, которая сохраняет объект, контекст его происхождения, права, версии, события сохранности и связи с исследованиями.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650"/>
        <w:gridCol w:w="2350"/>
        <w:gridCol w:w="6360"/>
      </w:tblGrid>
      <w:tr>
        <w:trPr>
          <w:tblHeader w:val="true"/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№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Решение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23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Утвердить миссию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Сохранять документальное, научное, технологическое, природное и цифровое наследие и возвращать его в исследовательский оборот.</w:t>
            </w:r>
          </w:p>
        </w:tc>
      </w:tr>
      <w:tr>
        <w:trPr>
          <w:cantSplit/>
        </w:trPr>
        <w:tc>
          <w:tcPr>
            <w:tcW w:type="dxa" w:w="6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2</w:t>
            </w:r>
          </w:p>
        </w:tc>
        <w:tc>
          <w:tcPr>
            <w:tcW w:type="dxa" w:w="23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Принять федеративную модель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Оригиналы остаются у законных хранителей; общий контур объединяет идентификаторы, метаданные, копии сохранности и правила доступа.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3</w:t>
            </w:r>
          </w:p>
        </w:tc>
        <w:tc>
          <w:tcPr>
            <w:tcW w:type="dxa" w:w="23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Назначить академическую экспертизу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Научный совет определяет ценность, достаточность описания, допустимые интерпретации и приоритеты оцифровки.</w:t>
            </w:r>
          </w:p>
        </w:tc>
      </w:tr>
      <w:tr>
        <w:trPr>
          <w:cantSplit/>
        </w:trPr>
        <w:tc>
          <w:tcPr>
            <w:tcW w:type="dxa" w:w="6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4</w:t>
            </w:r>
          </w:p>
        </w:tc>
        <w:tc>
          <w:tcPr>
            <w:tcW w:type="dxa" w:w="23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Запустить 16 реестров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Фонды, объекты, происхождение, состояние, права, цифровые копии, события сохранности, исследования и риски.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5</w:t>
            </w:r>
          </w:p>
        </w:tc>
        <w:tc>
          <w:tcPr>
            <w:tcW w:type="dxa" w:w="23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Провести 18-месячный пилот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Три разнородные коллекции, 1 000 приоритетных объектов, 300 мастер-копий, проверка восстановления и исследовательского повторного использования.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Критерий успеха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Объект можно однозначно идентифицировать, подтвердить его происхождение, восстановить сохранную цифровую копию, законно открыть нужной аудитории и корректно процитировать в исследовании.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02</w:t>
      </w:r>
    </w:p>
    <w:p>
      <w:pPr>
        <w:pStyle w:val="Heading1"/>
      </w:pPr>
      <w:r>
        <w:t>Миссия и границы архива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Сохранение наследия понимается как долгосрочная ответственность, а доступ — как управляемая услуга для определённых сообществ.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Сохранять.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Предотвращать физическую утрату, распад носителей, потерю форматов, контекста и атрибуции.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Доказывать.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Фиксировать происхождение, цепочку владения и хранения, основания подлинности, версии и события вмешательства.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Связывать.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Соединять объекты с людьми, институтами, территориями, проектами, данными, публикациями и образовательными сценариями.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Открывать ответственно.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Разделять публичный, исследовательский, ограниченный и закрытый доступ; учитывать права, этику и безопасность.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Возвращать в действие.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Использовать наследие в исследованиях, реставрации территорий, инженерии, образовании, выставках и общественном диалоге.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Принцип UNESCO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Сохранение документального наследия и обеспечение доступа рассматриваются совместно; культурные ограничения и практические условия доступа должны учитываться.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791F"/>
          <w:left w:val="single" w:sz="7" w:space="0" w:color="B7791F"/>
          <w:bottom w:val="single" w:sz="7" w:space="0" w:color="B7791F"/>
          <w:right w:val="single" w:sz="7" w:space="0" w:color="B7791F"/>
          <w:insideH w:val="single" w:sz="7" w:space="0" w:color="B7791F"/>
          <w:insideV w:val="single" w:sz="7" w:space="0" w:color="B7791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1CC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B7791F"/>
                <w:sz w:val="22"/>
              </w:rPr>
              <w:t>Юридическая оговорка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Документ задаёт проектную архитектуру и не заменяет экспертизу архивного, авторского, музейного, персонального, экспортного и иного применимого законодательства.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03</w:t>
      </w:r>
    </w:p>
    <w:p>
      <w:pPr>
        <w:pStyle w:val="Heading1"/>
      </w:pPr>
      <w:r>
        <w:t>Что входит в наследие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Единая система должна учитывать разные физические и цифровые режимы сохранности.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100"/>
        <w:gridCol w:w="7260"/>
      </w:tblGrid>
      <w:tr>
        <w:trPr>
          <w:tblHeader w:val="true"/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Класс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Примеры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Документальное</w:t>
            </w:r>
          </w:p>
        </w:tc>
        <w:tc>
          <w:tcPr>
            <w:tcW w:type="dxa" w:w="7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Рукописи, переписка, протоколы, отчёты, полевые журналы, диссертации, карты, чертежи.</w:t>
            </w:r>
          </w:p>
        </w:tc>
      </w:tr>
      <w:tr>
        <w:trPr>
          <w:cantSplit/>
        </w:trPr>
        <w:tc>
          <w:tcPr>
            <w:tcW w:type="dxa" w:w="2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Научное</w:t>
            </w:r>
          </w:p>
        </w:tc>
        <w:tc>
          <w:tcPr>
            <w:tcW w:type="dxa" w:w="7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Наблюдательные ряды, лабораторные журналы, данные, модели, код, методики, коллекции образцов.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Технологическое</w:t>
            </w:r>
          </w:p>
        </w:tc>
        <w:tc>
          <w:tcPr>
            <w:tcW w:type="dxa" w:w="7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Конструкторская документация, опытные образцы, приборы, технологические карты, патентные материалы.</w:t>
            </w:r>
          </w:p>
        </w:tc>
      </w:tr>
      <w:tr>
        <w:trPr>
          <w:cantSplit/>
        </w:trPr>
        <w:tc>
          <w:tcPr>
            <w:tcW w:type="dxa" w:w="2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Природное</w:t>
            </w:r>
          </w:p>
        </w:tc>
        <w:tc>
          <w:tcPr>
            <w:tcW w:type="dxa" w:w="7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Керны, почвы, минералы, гербарии, биологические коллекции, экологические серии наблюдений.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Культурное</w:t>
            </w:r>
          </w:p>
        </w:tc>
        <w:tc>
          <w:tcPr>
            <w:tcW w:type="dxa" w:w="7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Археологические материалы, фото, звук, кино, экспедиционные коллекции, устная история.</w:t>
            </w:r>
          </w:p>
        </w:tc>
      </w:tr>
      <w:tr>
        <w:trPr>
          <w:cantSplit/>
        </w:trPr>
        <w:tc>
          <w:tcPr>
            <w:tcW w:type="dxa" w:w="2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Цифровое</w:t>
            </w:r>
          </w:p>
        </w:tc>
        <w:tc>
          <w:tcPr>
            <w:tcW w:type="dxa" w:w="7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Born-digital документы, базы данных, сайты, электронная переписка, виртуальные модели и цифровые двойники.</w:t>
            </w:r>
          </w:p>
        </w:tc>
      </w:tr>
    </w:tbl>
    <w:p>
      <w:r>
        <w:rPr>
          <w:rFonts w:ascii="Calibri" w:hAnsi="Calibri" w:eastAsia="Calibri" w:cs="Calibri"/>
          <w:b w:val="0"/>
          <w:i w:val="0"/>
          <w:color w:val="1F2937"/>
          <w:sz w:val="22"/>
        </w:rPr>
        <w:t>Единицей управления может быть фонд, коллекция, опись, дело, предмет, образец, файл, набор данных или составной цифровой объект. Иерархия фиксируется явно, а не выводится из имени папки.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04</w:t>
      </w:r>
    </w:p>
    <w:p>
      <w:pPr>
        <w:pStyle w:val="Heading1"/>
      </w:pPr>
      <w:r>
        <w:t>Семь контуров целевой архитектуры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Архив должен быть одновременно хранителем, исследовательской инфраструктурой и системой доверия.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900"/>
        <w:gridCol w:w="2500"/>
        <w:gridCol w:w="5960"/>
      </w:tblGrid>
      <w:tr>
        <w:trPr>
          <w:tblHeader w:val="true"/>
          <w:cantSplit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Контур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5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01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Управление и комплектование</w:t>
            </w:r>
          </w:p>
        </w:tc>
        <w:tc>
          <w:tcPr>
            <w:tcW w:type="dxa" w:w="5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Политика приёма, критерии ценности, договоры, права, этика, приоритеты.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02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Физическая сохранность</w:t>
            </w:r>
          </w:p>
        </w:tc>
        <w:tc>
          <w:tcPr>
            <w:tcW w:type="dxa" w:w="5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Карантин, стабилизация, климат, упаковка, реставрация, учёт перемещений.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03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Оцифровка</w:t>
            </w:r>
          </w:p>
        </w:tc>
        <w:tc>
          <w:tcPr>
            <w:tcW w:type="dxa" w:w="5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Съёмка, калибровка, мастер-файлы, производные копии, контроль качества.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04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Долгосрочное цифровое хранение</w:t>
            </w:r>
          </w:p>
        </w:tc>
        <w:tc>
          <w:tcPr>
            <w:tcW w:type="dxa" w:w="5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Пакеты сохранности, контрольные суммы, события, миграции и проверяемые копии.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05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Описание и знание</w:t>
            </w:r>
          </w:p>
        </w:tc>
        <w:tc>
          <w:tcPr>
            <w:tcW w:type="dxa" w:w="5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Паспорта, provenance, онтология, словари, связи и устойчивые идентификаторы.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06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Академическое использование</w:t>
            </w:r>
          </w:p>
        </w:tc>
        <w:tc>
          <w:tcPr>
            <w:tcW w:type="dxa" w:w="5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Экспертиза, проекты, публикации, цитирование, обучение и обогащение описаний.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07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Доступ и устойчивость</w:t>
            </w:r>
          </w:p>
        </w:tc>
        <w:tc>
          <w:tcPr>
            <w:tcW w:type="dxa" w:w="5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Роли доступа, кибербезопасность, аварийное восстановление, аудит и публичные сервисы.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05</w:t>
      </w:r>
    </w:p>
    <w:p>
      <w:pPr>
        <w:pStyle w:val="Heading1"/>
      </w:pPr>
      <w:r>
        <w:t>Жизненный цикл объекта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Каждое действие оставляет проверяемый след и обновляет паспорт объекта.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700"/>
        <w:gridCol w:w="2600"/>
        <w:gridCol w:w="6060"/>
      </w:tblGrid>
      <w:tr>
        <w:trPr>
          <w:tblHeader w:val="true"/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Шаг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Событие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Выявление</w:t>
            </w:r>
          </w:p>
        </w:tc>
        <w:tc>
          <w:tcPr>
            <w:tcW w:type="dxa" w:w="6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Предварительное описание и риск утраты.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2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Экспертиза ценности</w:t>
            </w:r>
          </w:p>
        </w:tc>
        <w:tc>
          <w:tcPr>
            <w:tcW w:type="dxa" w:w="6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Научная, культурная, технологическая и территориальная значимость.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3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Приём</w:t>
            </w:r>
          </w:p>
        </w:tc>
        <w:tc>
          <w:tcPr>
            <w:tcW w:type="dxa" w:w="6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Правовое основание, акт, происхождение, ограничения.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4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Карантин и стабилизация</w:t>
            </w:r>
          </w:p>
        </w:tc>
        <w:tc>
          <w:tcPr>
            <w:tcW w:type="dxa" w:w="6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Осмотр, изоляция, первичные меры сохранности.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5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Описание</w:t>
            </w:r>
          </w:p>
        </w:tc>
        <w:tc>
          <w:tcPr>
            <w:tcW w:type="dxa" w:w="6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Идентификатор, иерархия, лица, места, даты, связи.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6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Оцифровка</w:t>
            </w:r>
          </w:p>
        </w:tc>
        <w:tc>
          <w:tcPr>
            <w:tcW w:type="dxa" w:w="6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Мастер, производные копии, параметры и контроль качества.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7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Пакет сохранности</w:t>
            </w:r>
          </w:p>
        </w:tc>
        <w:tc>
          <w:tcPr>
            <w:tcW w:type="dxa" w:w="6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Файлы, метаданные, контрольные суммы, события и копии.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8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Академическая рецензия</w:t>
            </w:r>
          </w:p>
        </w:tc>
        <w:tc>
          <w:tcPr>
            <w:tcW w:type="dxa" w:w="6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Проверка атрибуции, контекста и качества описания.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9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Доступ и цитирование</w:t>
            </w:r>
          </w:p>
        </w:tc>
        <w:tc>
          <w:tcPr>
            <w:tcW w:type="dxa" w:w="6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Права, аудит выдачи, ссылка на объект и версию.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10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Мониторинг</w:t>
            </w:r>
          </w:p>
        </w:tc>
        <w:tc>
          <w:tcPr>
            <w:tcW w:type="dxa" w:w="6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Состояние носителя, целостность файлов, форматы и риски.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11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Миграция / реставрация</w:t>
            </w:r>
          </w:p>
        </w:tc>
        <w:tc>
          <w:tcPr>
            <w:tcW w:type="dxa" w:w="6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Контролируемое вмешательство с документированным результатом.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12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Повторное использование</w:t>
            </w:r>
          </w:p>
        </w:tc>
        <w:tc>
          <w:tcPr>
            <w:tcW w:type="dxa" w:w="6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Исследование обогащает паспорт без переписывания исходного свидетельства.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06</w:t>
      </w:r>
    </w:p>
    <w:p>
      <w:pPr>
        <w:pStyle w:val="Heading1"/>
      </w:pPr>
      <w:r>
        <w:t>Паспорт объекта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Минимальная запись должна поддерживать сохранность, доказательность, доступ и исследовательское использование.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Блок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Обязательные поля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Идентификация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ID, название, тип, уровень иерархии, фонд/коллекция, альтернативные номера.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Создание и контекст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Автор/создатель, датировка, место/координаты, язык, дисциплина, обстоятельства создания.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Происхождение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Предыдущие владельцы и хранители, передача, основание владения, разрывы и спорные участки.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Подлинность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Основания атрибуции, экспертизы, подписи, печати, анализ материалов, уровень уверенности.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Материальный объект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Носитель, размеры, комплектность, состояние, повреждения, упаковка, место хранения.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Права и этика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Правообладатель, лицензия, персональные/чувствительные сведения, режим и срок ограничения.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Цифровые представления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Мастер и производные файлы, форматы, параметры съёмки, цветовой профиль, OCR/HTR.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Сохранность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Контрольные суммы, события PREMIS, форматы, миграции, копии, проверки целостности.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Связи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Лица, организации, проекты, территории, публикации, наборы данных, выставки, версии.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Управление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Ответственный хранитель, приоритет риска, дата проверки, статус описания и рецензент.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07</w:t>
      </w:r>
    </w:p>
    <w:p>
      <w:pPr>
        <w:pStyle w:val="Heading1"/>
      </w:pPr>
      <w:r>
        <w:t>Реестр фондов и коллекций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Главный каталог отвечает на вопросы: что хранится, где, на каком основании и в каком состоянии.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000"/>
        <w:gridCol w:w="3400"/>
        <w:gridCol w:w="3960"/>
      </w:tblGrid>
      <w:tr>
        <w:trPr>
          <w:tblHeader w:val="true"/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Поле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Содержание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Код фонда</w:t>
            </w:r>
          </w:p>
        </w:tc>
        <w:tc>
          <w:tcPr>
            <w:tcW w:type="dxa" w:w="3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ASN-FND-000001</w:t>
            </w:r>
          </w:p>
        </w:tc>
        <w:tc>
          <w:tcPr>
            <w:tcW w:type="dxa" w:w="3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Стабильный внутренний идентификатор.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Наименование</w:t>
            </w:r>
          </w:p>
        </w:tc>
        <w:tc>
          <w:tcPr>
            <w:tcW w:type="dxa" w:w="3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Официальное и исторические названия</w:t>
            </w:r>
          </w:p>
        </w:tc>
        <w:tc>
          <w:tcPr>
            <w:tcW w:type="dxa" w:w="3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 заменяется при переименовании.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Фондообразователь</w:t>
            </w:r>
          </w:p>
        </w:tc>
        <w:tc>
          <w:tcPr>
            <w:tcW w:type="dxa" w:w="3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Лицо / организация / экспедиция</w:t>
            </w:r>
          </w:p>
        </w:tc>
        <w:tc>
          <w:tcPr>
            <w:tcW w:type="dxa" w:w="3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Связь с реестрами персон и организаций.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Крайние даты</w:t>
            </w:r>
          </w:p>
        </w:tc>
        <w:tc>
          <w:tcPr>
            <w:tcW w:type="dxa" w:w="3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ГГГГ–ГГГГ или интервал неопределённости</w:t>
            </w:r>
          </w:p>
        </w:tc>
        <w:tc>
          <w:tcPr>
            <w:tcW w:type="dxa" w:w="3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Отдельно от даты поступления.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Объём и состав</w:t>
            </w:r>
          </w:p>
        </w:tc>
        <w:tc>
          <w:tcPr>
            <w:tcW w:type="dxa" w:w="3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Единицы хранения, типы носителей, языки</w:t>
            </w:r>
          </w:p>
        </w:tc>
        <w:tc>
          <w:tcPr>
            <w:tcW w:type="dxa" w:w="3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Поддерживает планирование ресурсов.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Происхождение</w:t>
            </w:r>
          </w:p>
        </w:tc>
        <w:tc>
          <w:tcPr>
            <w:tcW w:type="dxa" w:w="3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Цепочка хранения и поступления</w:t>
            </w:r>
          </w:p>
        </w:tc>
        <w:tc>
          <w:tcPr>
            <w:tcW w:type="dxa" w:w="3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Ключ к подлинности и интерпретации.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Правовой статус</w:t>
            </w:r>
          </w:p>
        </w:tc>
        <w:tc>
          <w:tcPr>
            <w:tcW w:type="dxa" w:w="3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Владение, хранение, права, ограничения</w:t>
            </w:r>
          </w:p>
        </w:tc>
        <w:tc>
          <w:tcPr>
            <w:tcW w:type="dxa" w:w="3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Основание доступа и использования.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Состояние</w:t>
            </w:r>
          </w:p>
        </w:tc>
        <w:tc>
          <w:tcPr>
            <w:tcW w:type="dxa" w:w="3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Сводная оценка и критические риски</w:t>
            </w:r>
          </w:p>
        </w:tc>
        <w:tc>
          <w:tcPr>
            <w:tcW w:type="dxa" w:w="3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Определяет очередь стабилизации.</w:t>
            </w:r>
          </w:p>
        </w:tc>
      </w:tr>
      <w:tr>
        <w:trPr>
          <w:cantSplit/>
        </w:trPr>
        <w:tc>
          <w:tcPr>
            <w:tcW w:type="dxa" w:w="2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Местонахождение</w:t>
            </w:r>
          </w:p>
        </w:tc>
        <w:tc>
          <w:tcPr>
            <w:tcW w:type="dxa" w:w="3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Хранитель, помещение, резервная копия</w:t>
            </w:r>
          </w:p>
        </w:tc>
        <w:tc>
          <w:tcPr>
            <w:tcW w:type="dxa" w:w="3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Публичное представление может быть обобщено.</w:t>
            </w:r>
          </w:p>
        </w:tc>
      </w:tr>
      <w:tr>
        <w:trPr>
          <w:cantSplit/>
        </w:trPr>
        <w:tc>
          <w:tcPr>
            <w:tcW w:type="dxa" w:w="2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Связи</w:t>
            </w:r>
          </w:p>
        </w:tc>
        <w:tc>
          <w:tcPr>
            <w:tcW w:type="dxa" w:w="3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Описи, объекты, публикации, проекты</w:t>
            </w:r>
          </w:p>
        </w:tc>
        <w:tc>
          <w:tcPr>
            <w:tcW w:type="dxa" w:w="3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Формирует академический граф знаний.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08</w:t>
      </w:r>
    </w:p>
    <w:p>
      <w:pPr>
        <w:pStyle w:val="Heading1"/>
      </w:pPr>
      <w:r>
        <w:t>Шестнадцать взаимосвязанных реестров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Реестр фондов — ядро, но сохранность обеспечивается системой связанных сущностей.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100"/>
        <w:gridCol w:w="2900"/>
        <w:gridCol w:w="5360"/>
      </w:tblGrid>
      <w:tr>
        <w:trPr>
          <w:tblHeader w:val="true"/>
          <w:cantSplit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Реестр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Что фиксирует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ASN-01</w:t>
            </w:r>
          </w:p>
        </w:tc>
        <w:tc>
          <w:tcPr>
            <w:tcW w:type="dxa" w:w="2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Фонды и коллекции</w:t>
            </w:r>
          </w:p>
        </w:tc>
        <w:tc>
          <w:tcPr>
            <w:tcW w:type="dxa" w:w="5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Иерархия, состав, владельцы, хранители.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ASN-02</w:t>
            </w:r>
          </w:p>
        </w:tc>
        <w:tc>
          <w:tcPr>
            <w:tcW w:type="dxa" w:w="2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Объекты и единицы хранения</w:t>
            </w:r>
          </w:p>
        </w:tc>
        <w:tc>
          <w:tcPr>
            <w:tcW w:type="dxa" w:w="5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Предметы, дела, образцы, файлы и составные объекты.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ASN-03</w:t>
            </w:r>
          </w:p>
        </w:tc>
        <w:tc>
          <w:tcPr>
            <w:tcW w:type="dxa" w:w="2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Лица</w:t>
            </w:r>
          </w:p>
        </w:tc>
        <w:tc>
          <w:tcPr>
            <w:tcW w:type="dxa" w:w="5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Создатели, исследователи, коллекционеры, реставраторы.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ASN-04</w:t>
            </w:r>
          </w:p>
        </w:tc>
        <w:tc>
          <w:tcPr>
            <w:tcW w:type="dxa" w:w="2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Организации</w:t>
            </w:r>
          </w:p>
        </w:tc>
        <w:tc>
          <w:tcPr>
            <w:tcW w:type="dxa" w:w="5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Институты, экспедиции, хранители, правопреемники.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ASN-05</w:t>
            </w:r>
          </w:p>
        </w:tc>
        <w:tc>
          <w:tcPr>
            <w:tcW w:type="dxa" w:w="2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Происхождение и передачи</w:t>
            </w:r>
          </w:p>
        </w:tc>
        <w:tc>
          <w:tcPr>
            <w:tcW w:type="dxa" w:w="5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Цепочка владения, хранения и оснований передачи.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ASN-06</w:t>
            </w:r>
          </w:p>
        </w:tc>
        <w:tc>
          <w:tcPr>
            <w:tcW w:type="dxa" w:w="2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Описания и классификаторы</w:t>
            </w:r>
          </w:p>
        </w:tc>
        <w:tc>
          <w:tcPr>
            <w:tcW w:type="dxa" w:w="5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Рубрики, тезаурусы, онтологии и версии описаний.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ASN-07</w:t>
            </w:r>
          </w:p>
        </w:tc>
        <w:tc>
          <w:tcPr>
            <w:tcW w:type="dxa" w:w="2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Права, доступ и этика</w:t>
            </w:r>
          </w:p>
        </w:tc>
        <w:tc>
          <w:tcPr>
            <w:tcW w:type="dxa" w:w="5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Правообладатели, лицензии, ограничения, решения.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ASN-08</w:t>
            </w:r>
          </w:p>
        </w:tc>
        <w:tc>
          <w:tcPr>
            <w:tcW w:type="dxa" w:w="2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Состояние и реставрация</w:t>
            </w:r>
          </w:p>
        </w:tc>
        <w:tc>
          <w:tcPr>
            <w:tcW w:type="dxa" w:w="5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Осмотры, повреждения, вмешательства, материалы.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ASN-09</w:t>
            </w:r>
          </w:p>
        </w:tc>
        <w:tc>
          <w:tcPr>
            <w:tcW w:type="dxa" w:w="2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Оцифровка</w:t>
            </w:r>
          </w:p>
        </w:tc>
        <w:tc>
          <w:tcPr>
            <w:tcW w:type="dxa" w:w="5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Сессии, оборудование, параметры, мастер и производные.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ASN-10</w:t>
            </w:r>
          </w:p>
        </w:tc>
        <w:tc>
          <w:tcPr>
            <w:tcW w:type="dxa" w:w="2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События цифровой сохранности</w:t>
            </w:r>
          </w:p>
        </w:tc>
        <w:tc>
          <w:tcPr>
            <w:tcW w:type="dxa" w:w="5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Контрольные суммы, форматы, миграции, валидации.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ASN-11</w:t>
            </w:r>
          </w:p>
        </w:tc>
        <w:tc>
          <w:tcPr>
            <w:tcW w:type="dxa" w:w="2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Места хранения и копии</w:t>
            </w:r>
          </w:p>
        </w:tc>
        <w:tc>
          <w:tcPr>
            <w:tcW w:type="dxa" w:w="5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Физические адреса, цифровые реплики, ответственные.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ASN-12</w:t>
            </w:r>
          </w:p>
        </w:tc>
        <w:tc>
          <w:tcPr>
            <w:tcW w:type="dxa" w:w="2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Исследования и публикации</w:t>
            </w:r>
          </w:p>
        </w:tc>
        <w:tc>
          <w:tcPr>
            <w:tcW w:type="dxa" w:w="5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Проекты, наборы данных, статьи, цитирования, интерпретации.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ASN-13</w:t>
            </w:r>
          </w:p>
        </w:tc>
        <w:tc>
          <w:tcPr>
            <w:tcW w:type="dxa" w:w="2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Выставки и образование</w:t>
            </w:r>
          </w:p>
        </w:tc>
        <w:tc>
          <w:tcPr>
            <w:tcW w:type="dxa" w:w="5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Экспозиции, курсы, медиа, общественное повторное использование.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ASN-14</w:t>
            </w:r>
          </w:p>
        </w:tc>
        <w:tc>
          <w:tcPr>
            <w:tcW w:type="dxa" w:w="2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Риски и инциденты</w:t>
            </w:r>
          </w:p>
        </w:tc>
        <w:tc>
          <w:tcPr>
            <w:tcW w:type="dxa" w:w="5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Угрозы, аварии, утраты, реагирование, восстановление.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ASN-15</w:t>
            </w:r>
          </w:p>
        </w:tc>
        <w:tc>
          <w:tcPr>
            <w:tcW w:type="dxa" w:w="2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Научные коллекции и образцы</w:t>
            </w:r>
          </w:p>
        </w:tc>
        <w:tc>
          <w:tcPr>
            <w:tcW w:type="dxa" w:w="5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Таксоны, точки отбора, методы, условия хранения.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ASN-16</w:t>
            </w:r>
          </w:p>
        </w:tc>
        <w:tc>
          <w:tcPr>
            <w:tcW w:type="dxa" w:w="2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Преобразования организаций</w:t>
            </w:r>
          </w:p>
        </w:tc>
        <w:tc>
          <w:tcPr>
            <w:tcW w:type="dxa" w:w="5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Переименования, слияния, разделения, предшественники и преемники.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09</w:t>
      </w:r>
    </w:p>
    <w:p>
      <w:pPr>
        <w:pStyle w:val="Heading1"/>
      </w:pPr>
      <w:r>
        <w:t>Как архив входит в академическую среду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Научная интеграция начинается не с портала, а с распределения ответственности.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Участник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Ответственность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Академический совет</w:t>
            </w:r>
          </w:p>
        </w:tc>
        <w:tc>
          <w:tcPr>
            <w:tcW w:type="dxa" w:w="6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Политика комплектования, ценность, спорная атрибуция, приоритеты и научная этика.</w:t>
            </w:r>
          </w:p>
        </w:tc>
      </w:tr>
      <w:tr>
        <w:trPr>
          <w:cantSplit/>
        </w:trPr>
        <w:tc>
          <w:tcPr>
            <w:tcW w:type="dxa" w:w="2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Профильные институты</w:t>
            </w:r>
          </w:p>
        </w:tc>
        <w:tc>
          <w:tcPr>
            <w:tcW w:type="dxa" w:w="6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Предметная экспертиза, методики описания, приборные исследования и исследовательские вопросы.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Архивы, библиотеки, музеи</w:t>
            </w:r>
          </w:p>
        </w:tc>
        <w:tc>
          <w:tcPr>
            <w:tcW w:type="dxa" w:w="6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Хранение, каталогизация, реставрация, читательский доступ и профессиональные регламенты.</w:t>
            </w:r>
          </w:p>
        </w:tc>
      </w:tr>
      <w:tr>
        <w:trPr>
          <w:cantSplit/>
        </w:trPr>
        <w:tc>
          <w:tcPr>
            <w:tcW w:type="dxa" w:w="2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Университеты</w:t>
            </w:r>
          </w:p>
        </w:tc>
        <w:tc>
          <w:tcPr>
            <w:tcW w:type="dxa" w:w="6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Практики, магистерские и аспирантские проекты, лаборатории оцифровки, учебные коллекции.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ЦКП и лаборатории</w:t>
            </w:r>
          </w:p>
        </w:tc>
        <w:tc>
          <w:tcPr>
            <w:tcW w:type="dxa" w:w="6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Спектроскопия, томография, материаловедение, датирование, климатические и биологические анализы.</w:t>
            </w:r>
          </w:p>
        </w:tc>
      </w:tr>
      <w:tr>
        <w:trPr>
          <w:cantSplit/>
        </w:trPr>
        <w:tc>
          <w:tcPr>
            <w:tcW w:type="dxa" w:w="2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Издатели и репозитории</w:t>
            </w:r>
          </w:p>
        </w:tc>
        <w:tc>
          <w:tcPr>
            <w:tcW w:type="dxa" w:w="6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DOI, публикации, данные, версии, цитирование объектов и открытые исследовательские продукты.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Обладатели наследия</w:t>
            </w:r>
          </w:p>
        </w:tc>
        <w:tc>
          <w:tcPr>
            <w:tcW w:type="dxa" w:w="66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Правовые основания, контекст происхождения, традиционные знания, режимы чувствительности.</w:t>
            </w:r>
          </w:p>
        </w:tc>
      </w:tr>
      <w:tr>
        <w:trPr>
          <w:cantSplit/>
        </w:trPr>
        <w:tc>
          <w:tcPr>
            <w:tcW w:type="dxa" w:w="2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Независимые эксперты</w:t>
            </w:r>
          </w:p>
        </w:tc>
        <w:tc>
          <w:tcPr>
            <w:tcW w:type="dxa" w:w="66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Контроль качества, аудит безопасности, реставрации, прав и воспроизводимости.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Федеративный принцип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Оригинал не обязан покидать своего хранителя. Центральный контур хранит согласованные метаданные, связи, историю изменений и проверяемые резервные копии цифровых мастер-файлов.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Интеллектуальная система архива</w:t>
      </w:r>
    </w:p>
    <w:p>
      <w:r>
        <w:rPr>
          <w:rFonts w:ascii="Calibri" w:hAnsi="Calibri" w:eastAsia="Calibri" w:cs="Calibri"/>
          <w:b w:val="0"/>
          <w:i w:val="0"/>
          <w:color w:val="1F2937"/>
          <w:sz w:val="22"/>
        </w:rPr>
        <w:t>Интеллектуальный слой не заменяет каталог, научного эксперта или хранителя. Он ускоряет обнаружение связей, предлагает гипотезы и сохраняет основания каждого машинного вывода.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Функция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 в архиве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Граф знаний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Связывает объекты, фонды, персон, институты, проекты, публикации, приборы, места и события.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Распознавание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OCR/HTR, распознавание таблиц, схем и подписей; исходное изображение сохраняется неизменным.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Извлечение сущностей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Предлагает имена, даты, географию, организации и научные термины с уровнем уверенности.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Разрешение идентичностей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Сопоставляет варианты имён и наименований с реестрами персон и организаций; неоднозначность не скрывается.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Семантический поиск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Ищет по смыслу, временным и пространственным связям, а не только по точному совпадению слов.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Экспертный помощник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Готовит подборку источников, сравнение версий и проект описания; решение принимает уполномоченный эксперт.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Контроль качества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Выявляет пропуски, противоречия, дубликаты, аномалии метаданных и риски утраты форматов.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Прозрачность ИИ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Для каждого предложения фиксируются модель, версия, входные данные, дата, уверенность, проверяющий и итог решения.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Человек сохраняет полномочие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Машинный вывод получает статус «предложение» и не меняет каноническую запись без проверки. Закрытые материалы не используются для внешнего обучения без отдельного правового основания.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10</w:t>
      </w:r>
    </w:p>
    <w:p>
      <w:pPr>
        <w:pStyle w:val="Heading1"/>
      </w:pPr>
      <w:r>
        <w:t>Академический цикл повторного использования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Архивный объект становится частью воспроизводимого исследования, а результат возвращается в паспорт как новая версия интерпретации.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700"/>
        <w:gridCol w:w="2400"/>
        <w:gridCol w:w="6260"/>
      </w:tblGrid>
      <w:tr>
        <w:trPr>
          <w:tblHeader w:val="true"/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Шаг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Действие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Контроль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</w:t>
            </w:r>
          </w:p>
        </w:tc>
        <w:tc>
          <w:tcPr>
            <w:tcW w:type="dxa" w:w="2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Запрос</w:t>
            </w:r>
          </w:p>
        </w:tc>
        <w:tc>
          <w:tcPr>
            <w:tcW w:type="dxa" w:w="6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Исследователь формулирует вопрос, выборку и правовой режим.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2</w:t>
            </w:r>
          </w:p>
        </w:tc>
        <w:tc>
          <w:tcPr>
            <w:tcW w:type="dxa" w:w="2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Выдача</w:t>
            </w:r>
          </w:p>
        </w:tc>
        <w:tc>
          <w:tcPr>
            <w:tcW w:type="dxa" w:w="6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Система фиксирует объект, версию, файлы и условия использования.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3</w:t>
            </w:r>
          </w:p>
        </w:tc>
        <w:tc>
          <w:tcPr>
            <w:tcW w:type="dxa" w:w="2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Метод</w:t>
            </w:r>
          </w:p>
        </w:tc>
        <w:tc>
          <w:tcPr>
            <w:tcW w:type="dxa" w:w="6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Протокол, оборудование, код, калибровка и ответственные.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4</w:t>
            </w:r>
          </w:p>
        </w:tc>
        <w:tc>
          <w:tcPr>
            <w:tcW w:type="dxa" w:w="2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Данные</w:t>
            </w:r>
          </w:p>
        </w:tc>
        <w:tc>
          <w:tcPr>
            <w:tcW w:type="dxa" w:w="6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Производный набор получает идентификатор и связь с источниками.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5</w:t>
            </w:r>
          </w:p>
        </w:tc>
        <w:tc>
          <w:tcPr>
            <w:tcW w:type="dxa" w:w="2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Вывод</w:t>
            </w:r>
          </w:p>
        </w:tc>
        <w:tc>
          <w:tcPr>
            <w:tcW w:type="dxa" w:w="6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Интерпретация проходит рецензию и не подменяет исходное описание.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6</w:t>
            </w:r>
          </w:p>
        </w:tc>
        <w:tc>
          <w:tcPr>
            <w:tcW w:type="dxa" w:w="2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Публикация</w:t>
            </w:r>
          </w:p>
        </w:tc>
        <w:tc>
          <w:tcPr>
            <w:tcW w:type="dxa" w:w="6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Статья/данные цитируют устойчивый ID объекта и версию.</w:t>
            </w:r>
          </w:p>
        </w:tc>
      </w:tr>
      <w:tr>
        <w:trPr>
          <w:cantSplit/>
        </w:trPr>
        <w:tc>
          <w:tcPr>
            <w:tcW w:type="dxa" w:w="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7</w:t>
            </w:r>
          </w:p>
        </w:tc>
        <w:tc>
          <w:tcPr>
            <w:tcW w:type="dxa" w:w="2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Обогащение</w:t>
            </w:r>
          </w:p>
        </w:tc>
        <w:tc>
          <w:tcPr>
            <w:tcW w:type="dxa" w:w="6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Новые атрибуты и связи добавляются с авторством и уровнем уверенности.</w:t>
            </w:r>
          </w:p>
        </w:tc>
      </w:tr>
      <w:tr>
        <w:trPr>
          <w:cantSplit/>
        </w:trPr>
        <w:tc>
          <w:tcPr>
            <w:tcW w:type="dxa" w:w="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8</w:t>
            </w:r>
          </w:p>
        </w:tc>
        <w:tc>
          <w:tcPr>
            <w:tcW w:type="dxa" w:w="2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Проверка</w:t>
            </w:r>
          </w:p>
        </w:tc>
        <w:tc>
          <w:tcPr>
            <w:tcW w:type="dxa" w:w="6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Другой исследователь может повторить выборку и проследить происхождение.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11</w:t>
      </w:r>
    </w:p>
    <w:p>
      <w:pPr>
        <w:pStyle w:val="Heading1"/>
      </w:pPr>
      <w:r>
        <w:t>Перечень институтов: ядро сохранения и истории науки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Ниже — карта потенциальных экспертных узлов; участие оформляется отдельными соглашениями и не предполагается автоматически.</w:t>
      </w:r>
    </w:p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Архивы, библиотеки и история науки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950"/>
        <w:gridCol w:w="2730"/>
        <w:gridCol w:w="3680"/>
      </w:tblGrid>
      <w:tr>
        <w:trPr>
          <w:tblHeader w:val="true"/>
          <w:cantSplit/>
        </w:trPr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Институт / узел</w:t>
            </w:r>
          </w:p>
        </w:tc>
        <w:tc>
          <w:tcPr>
            <w:tcW w:type="dxa" w:w="2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Компетенция</w:t>
            </w:r>
          </w:p>
        </w:tc>
        <w:tc>
          <w:tcPr>
            <w:tcW w:type="dxa" w:w="3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 в архиве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Архив Российской академии наук (АРАН)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Архивоведение, источниковедение, академическая документация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Методический хранитель; фондовая модель; экспертиза provenance и научного описания.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Библиотека Российской академии наук (БАН)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Редкие книги, рукописи, академические издания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Библиографическое описание, консервация книжных фондов, читательский доступ.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Библиотека по естественным наукам РАН (БЕН РАН)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Распределённая сеть естественнонаучных библиотек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Связь институтских коллекций, каталоги, научная периодика, обслуживание исследователей.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ИНИОН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Научная информация по общественным наукам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Тезаурусы, библиография, гуманитарные коллекции и информационный поиск.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ИИЕТ им. С.И. Вавилова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История естествознания и техники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Исторический контекст приборов, школ, экспедиций, институтов и технологических линий.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Археология, этнология и культурное наследие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950"/>
        <w:gridCol w:w="2730"/>
        <w:gridCol w:w="3680"/>
      </w:tblGrid>
      <w:tr>
        <w:trPr>
          <w:tblHeader w:val="true"/>
          <w:cantSplit/>
        </w:trPr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Институт / узел</w:t>
            </w:r>
          </w:p>
        </w:tc>
        <w:tc>
          <w:tcPr>
            <w:tcW w:type="dxa" w:w="2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Компетенция</w:t>
            </w:r>
          </w:p>
        </w:tc>
        <w:tc>
          <w:tcPr>
            <w:tcW w:type="dxa" w:w="3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 в архиве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Институт археологии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Археологические исследования и научные коллекции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Атрибуция, контекст находок, полевая документация, режим публикации координат.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Институт истории материальной культуры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Археология и история материальной культуры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Описание предметных коллекций, экспедиционные архивы, методы датирования.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Институт этнологии и антропологии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Этнология, антропология, традиционные культуры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Этика, чувствительные материалы, устная история, контекст сообществ.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Институт российской истории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История России и источниковедение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Экспертиза исторических корпусов и научная интерпретация документов.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Институт всеобщей истории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Всемирная история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Международный контекст, сравнительные коллекции, научные связи.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Институт славяноведения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История, языки и культуры славянских народов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Многоязычное описание и региональная атрибуция.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Институт востоковедения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История, языки и культуры Азии и Африки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Редкие языки, рукописи, транслитерация, культурные ограничения.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Институт русской литературы (Пушкинский Дом)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Литературные и рукописные коллекции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5"/>
              </w:rPr>
              <w:t>Текстология, варианты произведений, личные фонды и цифровые издания.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12</w:t>
      </w:r>
    </w:p>
    <w:p>
      <w:pPr>
        <w:pStyle w:val="Heading1"/>
      </w:pPr>
      <w:r>
        <w:t>Перечень институтов: атмосфера, Земля и океан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Эти узлы нужны для сохранения наблюдательных рядов, экспедиционных архивов, карт, образцов и истории природных изменений.</w:t>
      </w:r>
    </w:p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Атмосфера, климат и дистанционные наблюдения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950"/>
        <w:gridCol w:w="2730"/>
        <w:gridCol w:w="3680"/>
      </w:tblGrid>
      <w:tr>
        <w:trPr>
          <w:tblHeader w:val="true"/>
          <w:cantSplit/>
        </w:trPr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Институт / узел</w:t>
            </w:r>
          </w:p>
        </w:tc>
        <w:tc>
          <w:tcPr>
            <w:tcW w:type="dxa" w:w="2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Компетенция</w:t>
            </w:r>
          </w:p>
        </w:tc>
        <w:tc>
          <w:tcPr>
            <w:tcW w:type="dxa" w:w="3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 в архиве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физики атмосферы им. А.М. Обухова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Физика атмосферы, климат, турбулентность, наблюдательные станции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Экспертиза климатических рядов, приборов, станционных журналов и моделей.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оптики атмосферы им. В.Е. Зуева СО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Оптические методы исследования атмосферы и океана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Лидарные и спектральные данные, калибровка, приборные архивы.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солнечно-земной физики СО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Солнечно-земные связи и верхняя атмосфера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Обсерваторские ряды, геофизические приборы, долговременные наблюдения.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космических исследований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Космические исследования и дистанционное зондирование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Спутниковые данные, телеметрия, научная аппаратура, программные продукты.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Геофизика, геология, геохимия и география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950"/>
        <w:gridCol w:w="2730"/>
        <w:gridCol w:w="3680"/>
      </w:tblGrid>
      <w:tr>
        <w:trPr>
          <w:tblHeader w:val="true"/>
          <w:cantSplit/>
        </w:trPr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Институт / узел</w:t>
            </w:r>
          </w:p>
        </w:tc>
        <w:tc>
          <w:tcPr>
            <w:tcW w:type="dxa" w:w="2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Компетенция</w:t>
            </w:r>
          </w:p>
        </w:tc>
        <w:tc>
          <w:tcPr>
            <w:tcW w:type="dxa" w:w="3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 в архиве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физики Земли им. О.Ю. Шмидта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Геофизика, сейсмология, строение Земли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Сейсмические ряды, карты, станции, приборы и интерпретации.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динамики геосфер им. М.А. Садовского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Динамические процессы в геосферах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Экспериментальные данные, геориски, приборные комплексы.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ГЕОХИ им. В.И. Вернадского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Геохимия и аналитическая химия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Химическая атрибуция, эталоны, анализ состава и происхождения материалов.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ИГЕМ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Геология рудных месторождений, петрография, минералогия, геохимия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Минералогические коллекции, шлифы, керны, карты и полевые дневники.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географии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Физическая и социально-экономическая география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Картографические фонды, геоданные, территориальный и климатический контекст.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водных проблем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Водные ресурсы и гидрология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Гидрологические ряды, бассейновые модели, мониторинг и территориальные программы.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океанологии им. П.П. Ширшова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Океанология и морские экспедиции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Судовые журналы, маршруты, морские образцы, приборы и долговременные ряды.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13</w:t>
      </w:r>
    </w:p>
    <w:p>
      <w:pPr>
        <w:pStyle w:val="Heading1"/>
      </w:pPr>
      <w:r>
        <w:t>Перечень институтов: физическая химия и материалы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Материаловедческая экспертиза связывает происхождение, состояние, подлинность и безопасную реставрацию объектов.</w:t>
      </w:r>
    </w:p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Физическая химия, химическая физика и анализ материалов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950"/>
        <w:gridCol w:w="2730"/>
        <w:gridCol w:w="3680"/>
      </w:tblGrid>
      <w:tr>
        <w:trPr>
          <w:tblHeader w:val="true"/>
          <w:cantSplit/>
        </w:trPr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Институт / узел</w:t>
            </w:r>
          </w:p>
        </w:tc>
        <w:tc>
          <w:tcPr>
            <w:tcW w:type="dxa" w:w="2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Компетенция</w:t>
            </w:r>
          </w:p>
        </w:tc>
        <w:tc>
          <w:tcPr>
            <w:tcW w:type="dxa" w:w="3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 в архиве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ИФХЭ им. А.Н. Фрумкина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Физическая химия, электрохимия, коррозия, поверхности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Диагностика металлов и покрытий, коррозионные риски, консервационные материалы.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химической физики им. Н.Н. Семёнова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Химическая физика, кинетика и процессы старения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Механизмы деградации полимеров, бумаги, покрытий и композитов.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биохимической физики им. Н.М. Эмануэля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Биохимическая физика, полимеры, старение материалов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Оценка стабильности органических носителей и защитных сред.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общей и неорганической химии им. Н.С. Курнакова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Неорганическая химия и функциональные материалы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Состав пигментов, керамики, стекла, солей и минеральных материалов.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элементоорганических соединений им. А.Н. Несмеянова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Органическая и элементоорганическая химия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Полимеры, связующие, адгезивы и совместимость реставрационных материалов.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органической химии им. Н.Д. Зелинского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Органическая химия и аналитические методы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Идентификация органических веществ, загрязнений и продуктов распада.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металлургии и материаловедения им. А.А. Байкова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Металлы, керамика, композиционные материалы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Металлографическая экспертиза, технология изготовления и сохранность.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нефтехимического синтеза им. А.В. Топчиева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Полимеры, мембраны, нефтехимические материалы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Диагностика синтетических носителей и подбор барьерных материалов.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катализа им. Г.К. Борескова СО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Катализ и физико-химические методы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Аналитическая экспертиза поверхностей и химических преобразований.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14</w:t>
      </w:r>
    </w:p>
    <w:p>
      <w:pPr>
        <w:pStyle w:val="Heading1"/>
      </w:pPr>
      <w:r>
        <w:t>Перечень институтов: биологическое и природное наследие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Для образцов и живых коллекций паспорт должен включать происхождение, метод отбора, таксономию, условия хранения и биобезопасность.</w:t>
      </w:r>
    </w:p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Биология, экология, почвы и леса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950"/>
        <w:gridCol w:w="2730"/>
        <w:gridCol w:w="3680"/>
      </w:tblGrid>
      <w:tr>
        <w:trPr>
          <w:tblHeader w:val="true"/>
          <w:cantSplit/>
        </w:trPr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Институт / узел</w:t>
            </w:r>
          </w:p>
        </w:tc>
        <w:tc>
          <w:tcPr>
            <w:tcW w:type="dxa" w:w="2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Компетенция</w:t>
            </w:r>
          </w:p>
        </w:tc>
        <w:tc>
          <w:tcPr>
            <w:tcW w:type="dxa" w:w="3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 в архиве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ИПЭЭ им. А.Н. Северцова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Экология и эволюция животных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Зоологические коллекции, полевые наблюдения, таксономия и биоразнообразие.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ФИЦ Биотехнологии РАН / Институт микробиологии им. С.Н. Виноградского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Микробиология и биотехнология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Микробные коллекции, биоповреждения, биобезопасность и условия хранения.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физиологии растений им. К.А. Тимирязева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Физиология растений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Растительные образцы, экспериментальные серии и условия воспроизводимости.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Главный ботанический сад им. Н.В. Цицина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Живые и гербарные коллекции растений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Коллекционная политика, таксономия, происхождение образцов, публичная интерпретация.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лесоведения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Лесные экосистемы и долговременные наблюдения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Полевые архивы, пробные площади, образцы древесины и климатические связи.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биологии внутренних вод им. И.Д. Папанина РАН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Экосистемы внутренних вод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Гидробиологические коллекции, мониторинговые ряды, образцы и методики.</w:t>
            </w:r>
          </w:p>
        </w:tc>
      </w:tr>
      <w:tr>
        <w:trPr>
          <w:cantSplit/>
        </w:trPr>
        <w:tc>
          <w:tcPr>
            <w:tcW w:type="dxa" w:w="29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Институт экологии Волжского бассейна РАН</w:t>
            </w:r>
          </w:p>
        </w:tc>
        <w:tc>
          <w:tcPr>
            <w:tcW w:type="dxa" w:w="273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Региональная экология и биоразнообразие</w:t>
            </w:r>
          </w:p>
        </w:tc>
        <w:tc>
          <w:tcPr>
            <w:tcW w:type="dxa" w:w="368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Территориальные коллекции, экологические серии и связь с программами восстановления.</w:t>
            </w:r>
          </w:p>
        </w:tc>
      </w:tr>
      <w:tr>
        <w:trPr>
          <w:cantSplit/>
        </w:trPr>
        <w:tc>
          <w:tcPr>
            <w:tcW w:type="dxa" w:w="29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Почвенный институт им. В.В. Докучаева</w:t>
            </w:r>
          </w:p>
        </w:tc>
        <w:tc>
          <w:tcPr>
            <w:tcW w:type="dxa" w:w="273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Почвоведение и почвенные коллекции</w:t>
            </w:r>
          </w:p>
        </w:tc>
        <w:tc>
          <w:tcPr>
            <w:tcW w:type="dxa" w:w="368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Почвенные монолиты, профили, карты, точки отбора и аналитические данные.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791F"/>
          <w:left w:val="single" w:sz="7" w:space="0" w:color="B7791F"/>
          <w:bottom w:val="single" w:sz="7" w:space="0" w:color="B7791F"/>
          <w:right w:val="single" w:sz="7" w:space="0" w:color="B7791F"/>
          <w:insideH w:val="single" w:sz="7" w:space="0" w:color="B7791F"/>
          <w:insideV w:val="single" w:sz="7" w:space="0" w:color="B7791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1CC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B7791F"/>
                <w:sz w:val="22"/>
              </w:rPr>
              <w:t>Правило подключения института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До внесения в рабочий контур проверяются актуальное юридическое наименование, ведомственная принадлежность, полномочия на хранение, ответственный эксперт, режим данных и предмет соглашения. Перечень выше — проектная карта компетенций, а не утверждённый состав консорциума.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15</w:t>
      </w:r>
    </w:p>
    <w:p>
      <w:pPr>
        <w:pStyle w:val="Heading1"/>
      </w:pPr>
      <w:r>
        <w:t>Техническая и метаданная основа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Стандарты используются как совместимый каркас, а не как самоцель.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Основа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Применение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ISO 14721:2025 (OAIS)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Ответственность архива, определённое сообщество, приём, хранение, управление данными, доступ и долгосрочная сохранность.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PREMIS 3.0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Объекты, события, агенты и права; контрольные суммы, миграции, валидации и доказательства действий сохранности.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METS 2 / METS 1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Упаковка описательных, административных и структурных метаданных сложного цифрового объекта.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Dublin Core Terms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Базовые междисциплинарные поля обнаружения и обмена: название, создатель, дата, тип, формат, права, связи.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IIIF 3.0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Совместимое представление изображений и составных объектов; масштабирование, аннотации, поиск и управляемый доступ.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ORCID / ROR / DOI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Устойчивые идентификаторы исследователей, организаций и исследовательских результатов.</w:t>
            </w:r>
          </w:p>
        </w:tc>
      </w:tr>
    </w:tbl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Форматы.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Вести реестр форматов и профилей валидации; хранить мастер-файл без потерь и производные копии для доступа.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Целостность.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Фиксировать контрольные суммы при приёме и регулярно проверять все реплики.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Копии.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Поддерживать несколько проверяемых копий в географически и административно разнесённых контурах.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Версии.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Не переписывать запись без истории; каждая существенная правка имеет автора, дату, основание и связь с источником.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Экспорт.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Обеспечить машиночитаемый экспорт записей, связей и пакетов сохранности без привязки к одному поставщику.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16</w:t>
      </w:r>
    </w:p>
    <w:p>
      <w:pPr>
        <w:pStyle w:val="Heading1"/>
      </w:pPr>
      <w:r>
        <w:t>Доступ, права и этика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Открытость не означает отсутствие ограничений: OAIS прямо не приравнивает “open” к неограниченному доступу.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700"/>
        <w:gridCol w:w="3400"/>
        <w:gridCol w:w="4260"/>
      </w:tblGrid>
      <w:tr>
        <w:trPr>
          <w:tblHeader w:val="true"/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Режим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Содержание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Контроль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Публичный</w:t>
            </w:r>
          </w:p>
        </w:tc>
        <w:tc>
          <w:tcPr>
            <w:tcW w:type="dxa" w:w="3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Описание и разрешённые производные копии</w:t>
            </w:r>
          </w:p>
        </w:tc>
        <w:tc>
          <w:tcPr>
            <w:tcW w:type="dxa" w:w="4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Анонимный доступ, открытая лицензия или ясные условия использования.</w:t>
            </w:r>
          </w:p>
        </w:tc>
      </w:tr>
      <w:tr>
        <w:trPr>
          <w:cantSplit/>
        </w:trPr>
        <w:tc>
          <w:tcPr>
            <w:tcW w:type="dxa" w:w="1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Исследовательский</w:t>
            </w:r>
          </w:p>
        </w:tc>
        <w:tc>
          <w:tcPr>
            <w:tcW w:type="dxa" w:w="3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Высокое разрешение, дополнительные поля, наборы данных</w:t>
            </w:r>
          </w:p>
        </w:tc>
        <w:tc>
          <w:tcPr>
            <w:tcW w:type="dxa" w:w="4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Заявка, исследовательская цель, соглашение и аудит.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Ограниченный</w:t>
            </w:r>
          </w:p>
        </w:tc>
        <w:tc>
          <w:tcPr>
            <w:tcW w:type="dxa" w:w="34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Персональные, культурно чувствительные, уязвимые геоданные</w:t>
            </w:r>
          </w:p>
        </w:tc>
        <w:tc>
          <w:tcPr>
            <w:tcW w:type="dxa" w:w="42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Решение владельца/комитета, минимизация, срок и условия.</w:t>
            </w:r>
          </w:p>
        </w:tc>
      </w:tr>
      <w:tr>
        <w:trPr>
          <w:cantSplit/>
        </w:trPr>
        <w:tc>
          <w:tcPr>
            <w:tcW w:type="dxa" w:w="17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Закрытый</w:t>
            </w:r>
          </w:p>
        </w:tc>
        <w:tc>
          <w:tcPr>
            <w:tcW w:type="dxa" w:w="34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Государственная, коммерческая, биологическая или иная охраняемая информация</w:t>
            </w:r>
          </w:p>
        </w:tc>
        <w:tc>
          <w:tcPr>
            <w:tcW w:type="dxa" w:w="42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Изолированный контур, допуск, журналирование, запрет публичной индексации.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Этическое правило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Если открытие объекта может причинить вред людям, сообществам, местам наследия, редким видам или безопасности, решение принимается по принципу минимально достаточного доступа и документируется.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17</w:t>
      </w:r>
    </w:p>
    <w:p>
      <w:pPr>
        <w:pStyle w:val="Heading1"/>
      </w:pPr>
      <w:r>
        <w:t>Безопасность и непрерывность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Система должна переживать отказ поставщика, потерю площадки, ошибку оператора и целевую атаку.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Контроль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Требование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Классификация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Категории данных и объектов, владельцы риска, допустимые среды обработки.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Идентификация и роли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Раздельные роли хранителя, описателя, эксперта, администратора и аудитора.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Неизменяемый журнал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Приём, выдача, изменение метаданных, скачивание, миграция, удаление и восстановление.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Криптографическая целостность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Контрольные суммы, подписанные манифесты, регулярная сверка реплик.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Изолированные копии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Резервные копии без постоянной доступности из рабочего контура.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Аварийный план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Приоритеты спасения, контакты, оборудование, альтернативные площадки и упражнения.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Выход из поставщика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Экспорт объектов, метаданных, журналов и прав в документированном формате.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Независимый аудит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Периодическая проверка восстановления, прав, доступов и событий сохранности.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18</w:t>
      </w:r>
    </w:p>
    <w:p>
      <w:pPr>
        <w:pStyle w:val="Heading1"/>
      </w:pPr>
      <w:r>
        <w:t>Управление и распределение ролей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Научная подлинность, хранение и эксплуатация платформы не должны замыкаться в одном центре.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Роль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Полномочия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Учредитель / заказчик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Миссия, финансирование, правовая модель и контроль публичной ответственности.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Академический совет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Политика комплектования, приоритеты, спорная атрибуция и апелляции.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Научно-методический совет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Паспорт, классификаторы, метаданные, профили качества и междисциплинарные правила.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Хранитель оригинала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Физическая сохранность, инвентарный учёт, доступ и документирование вмешательств.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Оператор цифрового архива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Приём пакетов, репликация, целостность, миграции, доступность и журналы.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Профильный институт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Предметная экспертиза, исследования и рецензирование обогащённых описаний.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Комитет по правам и этике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Ограничения, персональные данные, культурная чувствительность и конфликт интересов.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Независимый аудитор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Проверка безопасности, восстановления, метаданных и заявленных показателей.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19</w:t>
      </w:r>
    </w:p>
    <w:p>
      <w:pPr>
        <w:pStyle w:val="Heading1"/>
      </w:pPr>
      <w:r>
        <w:t>Интеграция с экосистемой «Возрождение Земли»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Роли ниже — предлагаемая проектная схема и требуют отдельного утверждения.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800"/>
        <w:gridCol w:w="6560"/>
      </w:tblGrid>
      <w:tr>
        <w:trPr>
          <w:tblHeader w:val="true"/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Компонент</w:t>
            </w:r>
          </w:p>
        </w:tc>
        <w:tc>
          <w:tcPr>
            <w:tcW w:type="dxa" w:w="6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Предлагаемая роль</w:t>
            </w:r>
          </w:p>
        </w:tc>
      </w:tr>
      <w:tr>
        <w:trPr>
          <w:cantSplit/>
        </w:trPr>
        <w:tc>
          <w:tcPr>
            <w:tcW w:type="dxa" w:w="2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Академические реестры</w:t>
            </w:r>
          </w:p>
        </w:tc>
        <w:tc>
          <w:tcPr>
            <w:tcW w:type="dxa" w:w="6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Канонические идентификаторы, сущности, версии, доказательства и связи.</w:t>
            </w:r>
          </w:p>
        </w:tc>
      </w:tr>
      <w:tr>
        <w:trPr>
          <w:cantSplit/>
        </w:trPr>
        <w:tc>
          <w:tcPr>
            <w:tcW w:type="dxa" w:w="2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EQUILIBRIUM</w:t>
            </w:r>
          </w:p>
        </w:tc>
        <w:tc>
          <w:tcPr>
            <w:tcW w:type="dxa" w:w="65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Граф знаний, мониторинг рисков, аналитика состояния и междисциплинарные связи.</w:t>
            </w:r>
          </w:p>
        </w:tc>
      </w:tr>
      <w:tr>
        <w:trPr>
          <w:cantSplit/>
        </w:trPr>
        <w:tc>
          <w:tcPr>
            <w:tcW w:type="dxa" w:w="2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SFERA</w:t>
            </w:r>
          </w:p>
        </w:tc>
        <w:tc>
          <w:tcPr>
            <w:tcW w:type="dxa" w:w="6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Публичный и партнёрский доступ, виртуальные выставки, образовательные маршруты и участие сообществ.</w:t>
            </w:r>
          </w:p>
        </w:tc>
      </w:tr>
      <w:tr>
        <w:trPr>
          <w:cantSplit/>
        </w:trPr>
        <w:tc>
          <w:tcPr>
            <w:tcW w:type="dxa" w:w="2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ECO-PPA</w:t>
            </w:r>
          </w:p>
        </w:tc>
        <w:tc>
          <w:tcPr>
            <w:tcW w:type="dxa" w:w="65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Программы, соглашения, финансирование реставрации и показатели общественного/территориального эффекта.</w:t>
            </w:r>
          </w:p>
        </w:tc>
      </w:tr>
      <w:tr>
        <w:trPr>
          <w:cantSplit/>
        </w:trPr>
        <w:tc>
          <w:tcPr>
            <w:tcW w:type="dxa" w:w="2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НПК НПО «СПЕЦЗАЩИТА»</w:t>
            </w:r>
          </w:p>
        </w:tc>
        <w:tc>
          <w:tcPr>
            <w:tcW w:type="dxa" w:w="6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Защита, безопасная логистика, аварийное реагирование, пилоты хранения и оцифровки; без права единоличной научной атрибуции.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20</w:t>
      </w:r>
    </w:p>
    <w:p>
      <w:pPr>
        <w:pStyle w:val="Heading1"/>
      </w:pPr>
      <w:r>
        <w:t>Пилот на 18 месяцев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Пилот проверяет не объём оцифровки, а полный цикл: от приёма до научного повторного использования и восстановления копии.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100"/>
        <w:gridCol w:w="2500"/>
        <w:gridCol w:w="5760"/>
      </w:tblGrid>
      <w:tr>
        <w:trPr>
          <w:tblHeader w:val="true"/>
          <w:cantSplit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Срок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Фаза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0–3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Управление и отбор</w:t>
            </w:r>
          </w:p>
        </w:tc>
        <w:tc>
          <w:tcPr>
            <w:tcW w:type="dxa" w:w="5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Советы, политика, 3 коллекции, владельцы, права, исходная оценка рисков.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4–6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Инвентаризация</w:t>
            </w:r>
          </w:p>
        </w:tc>
        <w:tc>
          <w:tcPr>
            <w:tcW w:type="dxa" w:w="5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1 000 приоритетных объектов, паспорта, состояние, provenance, 6 реестров первой волны.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7–12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Оцифровка и хранилище</w:t>
            </w:r>
          </w:p>
        </w:tc>
        <w:tc>
          <w:tcPr>
            <w:tcW w:type="dxa" w:w="5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300 мастер-копий, пакеты сохранности, реплики, контрольные суммы, исследовательский кабинет.</w:t>
            </w:r>
          </w:p>
        </w:tc>
      </w:tr>
      <w:tr>
        <w:trPr>
          <w:cantSplit/>
        </w:trPr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13–15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Академические кейсы</w:t>
            </w:r>
          </w:p>
        </w:tc>
        <w:tc>
          <w:tcPr>
            <w:tcW w:type="dxa" w:w="5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Не менее 3 исследовательских проектов, обогащение описаний, корректное цитирование.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16–18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Аудит и решение</w:t>
            </w:r>
          </w:p>
        </w:tc>
        <w:tc>
          <w:tcPr>
            <w:tcW w:type="dxa" w:w="5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Учение по восстановлению, проверка прав и качества, решение о масштабировании.</w:t>
            </w:r>
          </w:p>
        </w:tc>
      </w:tr>
    </w:tbl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Коллекция A — научный архив.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Полевые журналы, наблюдательные данные, карты и приборная документация.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Коллекция B — технологическое наследие.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Чертежи, фотографии, отчёты испытаний и материальные образцы.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Коллекция C — культурное или природное наследие.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Составные объекты, чувствительные права, научная атрибуция и публичный сценарий.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21</w:t>
      </w:r>
    </w:p>
    <w:p>
      <w:pPr>
        <w:pStyle w:val="Heading1"/>
      </w:pPr>
      <w:r>
        <w:t>Показатели результата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Метрики должны показывать доверие, сохранность и использование, а не только количество сканов.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Показатель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Смысл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Прослеживаемость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Доля объектов с подтверждённым происхождением и основанием хранения.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Состояние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Доля приоритетных объектов с актуальным осмотром и планом сохранности.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Целостность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Доля пакетов, прошедших проверку контрольных сумм во всех обязательных копиях.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Восстановимость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Успешность и время контрольного восстановления из независимой копии.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Права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Доля объектов с определённым режимом доступа, основанием и сроком пересмотра.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Качество описания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Полнота обязательных полей и доля записей с академической рецензией.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Научное использование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Проекты, публикации, наборы данных и цитирования устойчивых ID объектов.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Обогащение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Проверенные новые атрибуты, связи и исправления с сохранённой историей версий.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Доступ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Время исполнения запросов по режимам и доля отказов с документированным основанием.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Инциденты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Количество, тяжесть, время обнаружения и закрытия, повторяемость причин.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22</w:t>
      </w:r>
    </w:p>
    <w:p>
      <w:pPr>
        <w:pStyle w:val="Heading1"/>
      </w:pPr>
      <w:r>
        <w:t>Ключевые риски и меры контроля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Главный риск — создать красивый каталог без сохранности, прав и научной ответственности.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500"/>
        <w:gridCol w:w="1100"/>
        <w:gridCol w:w="57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Риск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Уровень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Мера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Утрата физического объекта</w:t>
            </w:r>
          </w:p>
        </w:tc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Паспорт состояния, приоритеты, упаковка, климат, аварийный план.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Спорная подлинность</w:t>
            </w:r>
          </w:p>
        </w:tc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Provenance, уровни уверенности, несколько экспертиз, история версий и апелляция.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Устаревание форматов</w:t>
            </w:r>
          </w:p>
        </w:tc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Реестр форматов, валидация, миграции и сохранение исходного мастера.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Неопределённые права</w:t>
            </w:r>
          </w:p>
        </w:tc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Правовой паспорт до публикации; ограничения по умолчанию до решения.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Чувствительные данные</w:t>
            </w:r>
          </w:p>
        </w:tc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Минимизация, уровни доступа, этический комитет, журналирование.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Кибератака / шифровальщик</w:t>
            </w:r>
          </w:p>
        </w:tc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Сегментация, MFA, изолированные копии, мониторинг, упражнения.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Монополия поставщика</w:t>
            </w:r>
          </w:p>
        </w:tc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Средний</w:t>
            </w:r>
          </w:p>
        </w:tc>
        <w:tc>
          <w:tcPr>
            <w:tcW w:type="dxa" w:w="5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Открытые экспорты, документированные профили, регулярный тест выхода.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Перегрузка метаданными</w:t>
            </w:r>
          </w:p>
        </w:tc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Средний</w:t>
            </w:r>
          </w:p>
        </w:tc>
        <w:tc>
          <w:tcPr>
            <w:tcW w:type="dxa" w:w="5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Минимальное ядро, профили по типам объектов, автоматизация и контроль качества.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Формальная интеграция институтов</w:t>
            </w:r>
          </w:p>
        </w:tc>
        <w:tc>
          <w:tcPr>
            <w:tcW w:type="dxa" w:w="11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Ответственные эксперты, SLA рецензии, оплачиваемые роли, метрики повторного использования.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Нестабильное финансирование</w:t>
            </w:r>
          </w:p>
        </w:tc>
        <w:tc>
          <w:tcPr>
            <w:tcW w:type="dxa" w:w="11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Раздельное долгосрочное финансирование хранения и проектных исследований.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23</w:t>
      </w:r>
    </w:p>
    <w:p>
      <w:pPr>
        <w:pStyle w:val="Heading1"/>
      </w:pPr>
      <w:r>
        <w:t>Решения первого заседания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Запуск начинается с полномочий, правил и пилота, а не с закупки платформы.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850"/>
        <w:gridCol w:w="8510"/>
      </w:tblGrid>
      <w:tr>
        <w:trPr>
          <w:tblHeader w:val="true"/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№</w:t>
            </w:r>
          </w:p>
        </w:tc>
        <w:tc>
          <w:tcPr>
            <w:tcW w:type="dxa" w:w="8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Проект решения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01</w:t>
            </w:r>
          </w:p>
        </w:tc>
        <w:tc>
          <w:tcPr>
            <w:tcW w:type="dxa" w:w="8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Одобрить миссию, границы наследия и федеративную модель.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02</w:t>
            </w:r>
          </w:p>
        </w:tc>
        <w:tc>
          <w:tcPr>
            <w:tcW w:type="dxa" w:w="8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Создать Академический и Научно-методический советы; утвердить конфликт интересов и апелляции.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03</w:t>
            </w:r>
          </w:p>
        </w:tc>
        <w:tc>
          <w:tcPr>
            <w:tcW w:type="dxa" w:w="8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Назначить владельцев 16 реестров и хранителей трёх пилотных коллекций.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04</w:t>
            </w:r>
          </w:p>
        </w:tc>
        <w:tc>
          <w:tcPr>
            <w:tcW w:type="dxa" w:w="8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Утвердить минимальный паспорт объекта, реестр фондов и уровни доказательности.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05</w:t>
            </w:r>
          </w:p>
        </w:tc>
        <w:tc>
          <w:tcPr>
            <w:tcW w:type="dxa" w:w="8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Утвердить режимы доступа, права, этику, классификацию безопасности и журналирование.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06</w:t>
            </w:r>
          </w:p>
        </w:tc>
        <w:tc>
          <w:tcPr>
            <w:tcW w:type="dxa" w:w="8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Выбрать три пилотные коллекции и закрепить количественные ориентиры как план, а не гарантию.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07</w:t>
            </w:r>
          </w:p>
        </w:tc>
        <w:tc>
          <w:tcPr>
            <w:tcW w:type="dxa" w:w="8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Утвердить архитектуру цифровой сохранности на основе OAIS/PREMIS/METS и план выхода из поставщика.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08</w:t>
            </w:r>
          </w:p>
        </w:tc>
        <w:tc>
          <w:tcPr>
            <w:tcW w:type="dxa" w:w="8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Назначить контрольные точки на 6, 12 и 18 месяцев и независимый аудит восстановления.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Итог</w:t>
      </w:r>
    </w:p>
    <w:p>
      <w:pPr>
        <w:pStyle w:val="QuoteBox"/>
      </w:pPr>
      <w:r>
        <w:rPr>
          <w:rFonts w:ascii="Calibri" w:hAnsi="Calibri" w:eastAsia="Calibri" w:cs="Calibri"/>
          <w:b/>
          <w:i w:val="0"/>
          <w:color w:val="17365D"/>
          <w:sz w:val="24"/>
        </w:rPr>
        <w:t>Архив должен сохранять не только вещи и файлы, но и возможность доказательно понять их происхождение, смысл и место в истории науки — а затем безопасно использовать это знание для исследований, образования и восстановления территорий.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24</w:t>
      </w:r>
    </w:p>
    <w:p>
      <w:pPr>
        <w:pStyle w:val="Heading1"/>
      </w:pPr>
      <w:r>
        <w:t>Источники и стандарты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Официальные источники фиксируют нормативную основу; институтский перечень используется как проектная карта компетенций.</w:t>
      </w:r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[S1] </w:t>
      </w:r>
      <w:hyperlink r:id="rId12">
        <w:r>
          <w:rPr>
            <w:rFonts w:ascii="Calibri" w:hAnsi="Calibri"/>
            <w:color w:val="2E74B5"/>
            <w:sz w:val="18"/>
            <w:szCs w:val="18"/>
            <w:u w:val="single"/>
          </w:rPr>
          <w:t>UNESCO — Memory of the World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[S2] </w:t>
      </w:r>
      <w:hyperlink r:id="rId13">
        <w:r>
          <w:rPr>
            <w:rFonts w:ascii="Calibri" w:hAnsi="Calibri"/>
            <w:color w:val="2E74B5"/>
            <w:sz w:val="18"/>
            <w:szCs w:val="18"/>
            <w:u w:val="single"/>
          </w:rPr>
          <w:t>ISO 14721:2025 — Reference model for an OAIS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[S3] </w:t>
      </w:r>
      <w:hyperlink r:id="rId14">
        <w:r>
          <w:rPr>
            <w:rFonts w:ascii="Calibri" w:hAnsi="Calibri"/>
            <w:color w:val="2E74B5"/>
            <w:sz w:val="18"/>
            <w:szCs w:val="18"/>
            <w:u w:val="single"/>
          </w:rPr>
          <w:t>Library of Congress — PREMIS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[S4] </w:t>
      </w:r>
      <w:hyperlink r:id="rId15">
        <w:r>
          <w:rPr>
            <w:rFonts w:ascii="Calibri" w:hAnsi="Calibri"/>
            <w:color w:val="2E74B5"/>
            <w:sz w:val="18"/>
            <w:szCs w:val="18"/>
            <w:u w:val="single"/>
          </w:rPr>
          <w:t>Library of Congress — METS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[S5] </w:t>
      </w:r>
      <w:hyperlink r:id="rId16">
        <w:r>
          <w:rPr>
            <w:rFonts w:ascii="Calibri" w:hAnsi="Calibri"/>
            <w:color w:val="2E74B5"/>
            <w:sz w:val="18"/>
            <w:szCs w:val="18"/>
            <w:u w:val="single"/>
          </w:rPr>
          <w:t>DCMI Metadata Terms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[S6] </w:t>
      </w:r>
      <w:hyperlink r:id="rId17">
        <w:r>
          <w:rPr>
            <w:rFonts w:ascii="Calibri" w:hAnsi="Calibri"/>
            <w:color w:val="2E74B5"/>
            <w:sz w:val="18"/>
            <w:szCs w:val="18"/>
            <w:u w:val="single"/>
          </w:rPr>
          <w:t>IIIF API Specifications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[S7] </w:t>
      </w:r>
      <w:hyperlink r:id="rId18">
        <w:r>
          <w:rPr>
            <w:rFonts w:ascii="Calibri" w:hAnsi="Calibri"/>
            <w:color w:val="2E74B5"/>
            <w:sz w:val="18"/>
            <w:szCs w:val="18"/>
            <w:u w:val="single"/>
          </w:rPr>
          <w:t>ORCID — persistent researcher identifiers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[S8] </w:t>
      </w:r>
      <w:hyperlink r:id="rId19">
        <w:r>
          <w:rPr>
            <w:rFonts w:ascii="Calibri" w:hAnsi="Calibri"/>
            <w:color w:val="2E74B5"/>
            <w:sz w:val="18"/>
            <w:szCs w:val="18"/>
            <w:u w:val="single"/>
          </w:rPr>
          <w:t>ROR — research organization identifiers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[S9] </w:t>
      </w:r>
      <w:hyperlink r:id="rId20">
        <w:r>
          <w:rPr>
            <w:rFonts w:ascii="Calibri" w:hAnsi="Calibri"/>
            <w:color w:val="2E74B5"/>
            <w:sz w:val="18"/>
            <w:szCs w:val="18"/>
            <w:u w:val="single"/>
          </w:rPr>
          <w:t>РАН — справочник научных учреждений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[S10] </w:t>
      </w:r>
      <w:hyperlink r:id="rId21">
        <w:r>
          <w:rPr>
            <w:rFonts w:ascii="Calibri" w:hAnsi="Calibri"/>
            <w:color w:val="2E74B5"/>
            <w:sz w:val="18"/>
            <w:szCs w:val="18"/>
            <w:u w:val="single"/>
          </w:rPr>
          <w:t>Институт физики атмосферы им. А.М. Обухова РАН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[S11] </w:t>
      </w:r>
      <w:hyperlink r:id="rId22">
        <w:r>
          <w:rPr>
            <w:rFonts w:ascii="Calibri" w:hAnsi="Calibri"/>
            <w:color w:val="2E74B5"/>
            <w:sz w:val="18"/>
            <w:szCs w:val="18"/>
            <w:u w:val="single"/>
          </w:rPr>
          <w:t>ИФХЭ им. А.Н. Фрумкина РАН — общая информация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[S12] </w:t>
      </w:r>
      <w:hyperlink r:id="rId23">
        <w:r>
          <w:rPr>
            <w:rFonts w:ascii="Calibri" w:hAnsi="Calibri"/>
            <w:color w:val="2E74B5"/>
            <w:sz w:val="18"/>
            <w:szCs w:val="18"/>
            <w:u w:val="single"/>
          </w:rPr>
          <w:t>ИИЕТ им. С.И. Вавилова РАН — краткая справка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[S13] </w:t>
      </w:r>
      <w:hyperlink r:id="rId24">
        <w:r>
          <w:rPr>
            <w:rFonts w:ascii="Calibri" w:hAnsi="Calibri"/>
            <w:color w:val="2E74B5"/>
            <w:sz w:val="18"/>
            <w:szCs w:val="18"/>
            <w:u w:val="single"/>
          </w:rPr>
          <w:t>Архив РАН — информационная система архивов РАН</w:t>
        </w:r>
      </w:hyperlink>
    </w:p>
    <w:p>
      <w:pPr>
        <w:spacing w:after="100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[S14] </w:t>
      </w:r>
      <w:hyperlink r:id="rId25">
        <w:r>
          <w:rPr>
            <w:rFonts w:ascii="Calibri" w:hAnsi="Calibri"/>
            <w:color w:val="2E74B5"/>
            <w:sz w:val="18"/>
            <w:szCs w:val="18"/>
            <w:u w:val="single"/>
          </w:rPr>
          <w:t>БЕН РАН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791F"/>
          <w:left w:val="single" w:sz="7" w:space="0" w:color="B7791F"/>
          <w:bottom w:val="single" w:sz="7" w:space="0" w:color="B7791F"/>
          <w:right w:val="single" w:sz="7" w:space="0" w:color="B7791F"/>
          <w:insideH w:val="single" w:sz="7" w:space="0" w:color="B7791F"/>
          <w:insideV w:val="single" w:sz="7" w:space="0" w:color="B7791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1CC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B7791F"/>
                <w:sz w:val="22"/>
              </w:rPr>
              <w:t>Предел документа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Перечень институтов требует актуализации юридических наименований и ведомственной принадлежности перед заключением соглашений. Роли институтов описаны как возможные направления участия, а не как подтверждённые обязательства.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 w:cs="Calibri"/>
        <w:b w:val="0"/>
        <w:i w:val="0"/>
        <w:color w:val="5B6573"/>
        <w:sz w:val="17"/>
      </w:rPr>
      <w:t xml:space="preserve">Стратегическая концепция  •  рабочая версия  •  </w:t>
    </w:r>
    <w:r>
      <w:rPr>
        <w:rFonts w:ascii="Calibri" w:hAnsi="Calibri" w:eastAsia="Calibri" w:cs="Calibri"/>
        <w:b w:val="0"/>
        <w:i w:val="0"/>
        <w:color w:val="5B6573"/>
        <w:sz w:val="17"/>
      </w:rPr>
      <w:t xml:space="preserve">Стр. </w:t>
    </w:r>
    <w:r>
      <w:rPr>
        <w:rFonts w:ascii="Calibri" w:hAnsi="Calibri" w:eastAsia="Calibri" w:cs="Calibri"/>
        <w:b w:val="0"/>
        <w:i w:val="0"/>
        <w:color w:val="5B6573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12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4680"/>
      <w:gridCol w:w="4680"/>
    </w:tblGrid>
    <w:tr>
      <w:trPr>
        <w:tblHeader w:val="true"/>
      </w:trPr>
      <w:tc>
        <w:tcPr>
          <w:tcW w:type="dxa" w:w="468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 w:line="259" w:lineRule="auto"/>
            <w:jc w:val="left"/>
          </w:pPr>
          <w:r/>
          <w:r>
            <w:rPr>
              <w:rFonts w:ascii="Calibri" w:hAnsi="Calibri" w:eastAsia="Calibri" w:cs="Calibri"/>
              <w:b/>
              <w:i w:val="0"/>
              <w:color w:val="2E74B5"/>
              <w:sz w:val="17"/>
            </w:rPr>
            <w:t>АРХИВ СОХРАНЕНИЯ НАСЛЕДИЯ</w:t>
          </w:r>
        </w:p>
      </w:tc>
      <w:tc>
        <w:tcPr>
          <w:tcW w:type="dxa" w:w="468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 w:line="259" w:lineRule="auto"/>
            <w:jc w:val="right"/>
          </w:pPr>
          <w:r/>
          <w:r>
            <w:rPr>
              <w:rFonts w:ascii="Calibri" w:hAnsi="Calibri" w:eastAsia="Calibri" w:cs="Calibri"/>
              <w:b/>
              <w:i w:val="0"/>
              <w:color w:val="5B6573"/>
              <w:sz w:val="17"/>
            </w:rPr>
            <w:t>АКАДЕМИЧЕСКАЯ ИНТЕГРАЦИЯ</w:t>
          </w:r>
        </w:p>
      </w:tc>
    </w:tr>
  </w:tbl>
  <w:p>
    <w:pPr>
      <w:spacing w:after="0"/>
      <w:pBdr>
        <w:bottom w:val="single" w:sz="12" w:space="1" w:color="DDEBF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60" w:line="320" w:lineRule="auto"/>
      <w:jc w:val="both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/>
      <w:jc w:val="left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40" w:after="120"/>
      <w:jc w:val="left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6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/>
      <w:jc w:val="left"/>
    </w:pPr>
    <w:rPr>
      <w:rFonts w:asciiTheme="majorHAnsi" w:eastAsiaTheme="majorEastAsia" w:hAnsiTheme="majorHAnsi" w:cstheme="majorBidi" w:ascii="Calibri" w:hAnsi="Calibri"/>
      <w:b w:val="0"/>
      <w:i/>
      <w:iCs/>
      <w:color w:val="5B6573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after="80" w:line="290" w:lineRule="auto"/>
      <w:ind w:left="1080" w:hanging="279"/>
      <w:contextualSpacing/>
    </w:pPr>
    <w:rPr>
      <w:rFonts w:ascii="Calibri" w:hAnsi="Calibri"/>
      <w:sz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widowControl/>
      <w:numPr>
        <w:numId w:val="6"/>
      </w:numPr>
      <w:spacing w:after="80" w:line="290" w:lineRule="auto"/>
      <w:ind w:left="1080" w:hanging="279"/>
      <w:contextualSpacing/>
    </w:pPr>
    <w:rPr>
      <w:rFonts w:ascii="Calibri" w:hAnsi="Calibri"/>
      <w:sz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spacing w:after="100"/>
    </w:pPr>
    <w:rPr>
      <w:rFonts w:ascii="Calibri" w:hAnsi="Calibri"/>
      <w:b/>
      <w:color w:val="2E74B5"/>
      <w:sz w:val="18"/>
    </w:rPr>
  </w:style>
  <w:style w:type="paragraph" w:customStyle="1" w:styleId="QuoteBox">
    <w:name w:val="Quote Box"/>
    <w:pPr>
      <w:keepLines/>
      <w:spacing w:before="120" w:after="120" w:line="283" w:lineRule="auto"/>
      <w:ind w:left="259" w:right="259"/>
    </w:pPr>
    <w:rPr>
      <w:rFonts w:ascii="Calibri" w:hAnsi="Calibri"/>
      <w:b/>
      <w:color w:val="17365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unesco.org/en/memory-world" TargetMode="External"/><Relationship Id="rId13" Type="http://schemas.openxmlformats.org/officeDocument/2006/relationships/hyperlink" Target="https://www.iso.org/standard/87471.html" TargetMode="External"/><Relationship Id="rId14" Type="http://schemas.openxmlformats.org/officeDocument/2006/relationships/hyperlink" Target="https://www.loc.gov/standards/premis/index.html" TargetMode="External"/><Relationship Id="rId15" Type="http://schemas.openxmlformats.org/officeDocument/2006/relationships/hyperlink" Target="https://www.loc.gov/standards/mets" TargetMode="External"/><Relationship Id="rId16" Type="http://schemas.openxmlformats.org/officeDocument/2006/relationships/hyperlink" Target="https://www.dublincore.org/specifications/dublin-core/dcmi-terms/" TargetMode="External"/><Relationship Id="rId17" Type="http://schemas.openxmlformats.org/officeDocument/2006/relationships/hyperlink" Target="https://iiif.io/api/" TargetMode="External"/><Relationship Id="rId18" Type="http://schemas.openxmlformats.org/officeDocument/2006/relationships/hyperlink" Target="https://support.orcid.org/hc/en-us/articles/360006973993-What-is-ORCID" TargetMode="External"/><Relationship Id="rId19" Type="http://schemas.openxmlformats.org/officeDocument/2006/relationships/hyperlink" Target="https://ror.org/about/" TargetMode="External"/><Relationship Id="rId20" Type="http://schemas.openxmlformats.org/officeDocument/2006/relationships/hyperlink" Target="https://www.ras.ru/docs/rasreference.html" TargetMode="External"/><Relationship Id="rId21" Type="http://schemas.openxmlformats.org/officeDocument/2006/relationships/hyperlink" Target="https://ifaran.ru/ru/about" TargetMode="External"/><Relationship Id="rId22" Type="http://schemas.openxmlformats.org/officeDocument/2006/relationships/hyperlink" Target="https://phyche.ac.ru/contact/general-information" TargetMode="External"/><Relationship Id="rId23" Type="http://schemas.openxmlformats.org/officeDocument/2006/relationships/hyperlink" Target="https://ihst.ru/about/" TargetMode="External"/><Relationship Id="rId24" Type="http://schemas.openxmlformats.org/officeDocument/2006/relationships/hyperlink" Target="https://db.isaran.ru/" TargetMode="External"/><Relationship Id="rId25" Type="http://schemas.openxmlformats.org/officeDocument/2006/relationships/hyperlink" Target="https://www.benr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Архив сохранения наследия: интеграция с академической средой</dc:title>
  <dc:subject>Стратегическая концепция архива, реестров и академической интеграции</dc:subject>
  <dc:creator>OpenAI</dc:creator>
  <cp:keywords>архив, наследие, академические институты, реестр фондов, OAIS, PREMIS, METS</cp:keywords>
  <dc:description>Проектная концепция; институты представлены как карта потенциальных компетенций.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