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23A5A"/>
          <w:sz w:val="56"/>
        </w:rPr>
        <w:t>СПЕЦЗАЩИТА</w:t>
      </w:r>
    </w:p>
    <w:p>
      <w:pPr>
        <w:jc w:val="center"/>
      </w:pPr>
      <w:r>
        <w:rPr>
          <w:b/>
          <w:sz w:val="44"/>
        </w:rPr>
        <w:t>АРХЕОМЕТР И КОСМОРИТМОЛОГИЯ</w:t>
      </w:r>
    </w:p>
    <w:p>
      <w:pPr>
        <w:jc w:val="center"/>
      </w:pPr>
      <w:r>
        <w:rPr>
          <w:i/>
          <w:sz w:val="26"/>
        </w:rPr>
        <w:t>Архитектура измерения, синхронизации и гармонизации многомерных систем</w:t>
      </w:r>
    </w:p>
    <w:p>
      <w:r>
        <w:br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D9EAF7"/>
          </w:tcPr>
          <w:p>
            <w:r>
              <w:t>Статус</w:t>
            </w:r>
          </w:p>
        </w:tc>
        <w:tc>
          <w:tcPr>
            <w:tcW w:type="dxa" w:w="5014"/>
          </w:tcPr>
          <w:p>
            <w:r>
              <w:t>Концептуально-техническая версия 1.0</w:t>
            </w:r>
          </w:p>
        </w:tc>
      </w:tr>
      <w:tr>
        <w:tc>
          <w:tcPr>
            <w:tcW w:type="dxa" w:w="5014"/>
            <w:shd w:fill="D9EAF7"/>
          </w:tcPr>
          <w:p>
            <w:r>
              <w:t>Назначение</w:t>
            </w:r>
          </w:p>
        </w:tc>
        <w:tc>
          <w:tcPr>
            <w:tcW w:type="dxa" w:w="5014"/>
          </w:tcPr>
          <w:p>
            <w:r>
              <w:t>Контур анализа, прогнозирования и согласования решений СПЕЦЗАЩИТЫ</w:t>
            </w:r>
          </w:p>
        </w:tc>
      </w:tr>
      <w:tr>
        <w:tc>
          <w:tcPr>
            <w:tcW w:type="dxa" w:w="5014"/>
            <w:shd w:fill="D9EAF7"/>
          </w:tcPr>
          <w:p>
            <w:r>
              <w:t>Базовая модель</w:t>
            </w:r>
          </w:p>
        </w:tc>
        <w:tc>
          <w:tcPr>
            <w:tcW w:type="dxa" w:w="5014"/>
          </w:tcPr>
          <w:p>
            <w:r>
              <w:t>Археометр = универсальная функция развития + оператор гармонизации</w:t>
            </w:r>
          </w:p>
        </w:tc>
      </w:tr>
      <w:tr>
        <w:tc>
          <w:tcPr>
            <w:tcW w:type="dxa" w:w="5014"/>
            <w:shd w:fill="D9EAF7"/>
          </w:tcPr>
          <w:p>
            <w:r>
              <w:t>Временной слой</w:t>
            </w:r>
          </w:p>
        </w:tc>
        <w:tc>
          <w:tcPr>
            <w:tcW w:type="dxa" w:w="5014"/>
          </w:tcPr>
          <w:p>
            <w:r>
              <w:t>Косморитмология = измеряемая система циклов, фаз и окон решений</w:t>
            </w:r>
          </w:p>
        </w:tc>
      </w:tr>
    </w:tbl>
    <w:p>
      <w:r>
        <w:br/>
      </w:r>
    </w:p>
    <w:p>
      <w:pPr>
        <w:jc w:val="center"/>
      </w:pPr>
      <w:r>
        <w:rPr>
          <w:b/>
        </w:rPr>
        <w:t>Ключевой принцип: измерять — синхронизировать — прогнозировать — гармонизировать — действовать.</w:t>
      </w:r>
    </w:p>
    <w:p>
      <w:r>
        <w:br w:type="page"/>
      </w:r>
    </w:p>
    <w:p>
      <w:pPr>
        <w:pStyle w:val="Heading1"/>
      </w:pPr>
      <w:r>
        <w:t>1. Резюме документа</w:t>
      </w:r>
    </w:p>
    <w:p>
      <w:r>
        <w:t>Документ определяет место Археометра и Косморитмологии в системе СПЕЦЗАЩИТА. Археометр трактуется как вычислимый метаоператор, который оценивает состояние многомерной системы, измеряет отклонение от устойчивого развивающегося режима и формирует управляющее воздействие. Косморитмология задаёт временно-циклический слой: календарь повторяющихся природных, технологических, социальных и астрономически подтверждаемых циклов, используемых для планирования наблюдений, сценариев и окон решений.</w:t>
      </w:r>
    </w:p>
    <w:p>
      <w:r>
        <w:t>СПЕЦЗАЩИТА в данной архитектуре выступает не как абстрактная идея, а как исполнительный контур: получает данные, проверяет их, рассчитывает индексы, формирует сценарии, определяет допустимые действия, запускает пилоты и контролирует фактический эффект.</w:t>
      </w:r>
    </w:p>
    <w:p>
      <w:pPr>
        <w:jc w:val="center"/>
      </w:pPr>
      <w:r>
        <w:rPr>
          <w:b/>
          <w:sz w:val="24"/>
        </w:rPr>
        <w:t>СПЕЦЗАЩИТА = Наблюдение → Археометр → Косморитм → Решение → Исполнение → Обратная связь</w:t>
      </w:r>
    </w:p>
    <w:p>
      <w:pPr>
        <w:pStyle w:val="Heading1"/>
      </w:pPr>
      <w:r>
        <w:t>2. Методологический статус</w:t>
      </w:r>
    </w:p>
    <w:p>
      <w:r>
        <w:t>Для практической применимости система разделяет три уровня утверждений:</w:t>
      </w:r>
    </w:p>
    <w:p>
      <w:pPr>
        <w:pStyle w:val="ListBullet"/>
      </w:pPr>
      <w:r>
        <w:t>измеряемые физические и астрономические циклы — вращение Земли, годичный цикл, лунный синодический цикл, солнечная активность и иные наблюдаемые периодичности;</w:t>
      </w:r>
    </w:p>
    <w:p>
      <w:pPr>
        <w:pStyle w:val="ListBullet"/>
      </w:pPr>
      <w:r>
        <w:t>системные и математические модели — динамические системы, теория графов, спектральный анализ, энтропия, перколяция, показатели Ляпунова, аттракторы;</w:t>
      </w:r>
    </w:p>
    <w:p>
      <w:pPr>
        <w:pStyle w:val="ListBullet"/>
      </w:pPr>
      <w:r>
        <w:t>гипотезы о корреляциях циклов с социальными или когнитивными явлениями — допускаются только как проверяемые гипотезы и не объявляются причинными законами без статистической валидации.</w:t>
      </w:r>
    </w:p>
    <w:p>
      <w:r>
        <w:t>Это разделение принципиально: оно позволяет использовать широкую концепцию косморитмологии, не смешивая научно подтверждённые циклы со спекулятивными корреляциями.</w:t>
      </w:r>
    </w:p>
    <w:p>
      <w:pPr>
        <w:pStyle w:val="Heading1"/>
      </w:pPr>
      <w:r>
        <w:t>3. Археометр: определение и функция</w:t>
      </w:r>
    </w:p>
    <w:p>
      <w:r>
        <w:t>Археометр — универсальная функция развития и оператор гармонизации многомерной системы. Его задача — переводить разнородные данные в единое пространство состояния и отвечать на пять вопросов: что происходит; насколько состояние устойчиво; в каком направлении оно изменяется; где располагается критический порог; какое воздействие улучшает баланс без разрушения разнообразия.</w:t>
      </w:r>
    </w:p>
    <w:p>
      <w:pPr>
        <w:jc w:val="center"/>
      </w:pPr>
      <w:r>
        <w:rPr>
          <w:b/>
          <w:sz w:val="24"/>
        </w:rPr>
        <w:t>X(t) = [x₁(t), x₂(t), …, xₙ(t)]ᵀ</w:t>
      </w:r>
    </w:p>
    <w:p>
      <w:pPr>
        <w:jc w:val="center"/>
      </w:pPr>
      <w:r>
        <w:t>X(t) — нормированный вектор состояния системы.</w:t>
      </w:r>
    </w:p>
    <w:p>
      <w:pPr>
        <w:pStyle w:val="Heading2"/>
      </w:pPr>
      <w:r>
        <w:t>3.1. Базовые измерения Археометра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2268"/>
            <w:shd w:fill="D9EAF7"/>
            <w:vAlign w:val="center"/>
          </w:tcPr>
          <w:p>
            <w:r>
              <w:rPr>
                <w:b/>
                <w:sz w:val="18"/>
              </w:rPr>
              <w:t>Показатель</w:t>
            </w:r>
          </w:p>
        </w:tc>
        <w:tc>
          <w:tcPr>
            <w:tcW w:type="dxa" w:w="1417"/>
            <w:shd w:fill="D9EAF7"/>
            <w:vAlign w:val="center"/>
          </w:tcPr>
          <w:p>
            <w:r>
              <w:rPr>
                <w:b/>
                <w:sz w:val="18"/>
              </w:rPr>
              <w:t>Обозначение</w:t>
            </w:r>
          </w:p>
        </w:tc>
        <w:tc>
          <w:tcPr>
            <w:tcW w:type="dxa" w:w="5669"/>
            <w:shd w:fill="D9EAF7"/>
            <w:vAlign w:val="center"/>
          </w:tcPr>
          <w:p>
            <w:r>
              <w:rPr>
                <w:b/>
                <w:sz w:val="18"/>
              </w:rPr>
              <w:t>Смысл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Интеграция</w:t>
            </w:r>
          </w:p>
        </w:tc>
        <w:tc>
          <w:tcPr>
            <w:tcW w:type="dxa" w:w="141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I</w:t>
            </w:r>
          </w:p>
        </w:tc>
        <w:tc>
          <w:tcPr>
            <w:tcW w:type="dxa" w:w="56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Связанность и способность подсистем обмениваться значимой информацией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Поток</w:t>
            </w:r>
          </w:p>
        </w:tc>
        <w:tc>
          <w:tcPr>
            <w:tcW w:type="dxa" w:w="141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F</w:t>
            </w:r>
          </w:p>
        </w:tc>
        <w:tc>
          <w:tcPr>
            <w:tcW w:type="dxa" w:w="56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Интенсивность движения энергии, вещества, информации или ресурсов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Стабильность</w:t>
            </w:r>
          </w:p>
        </w:tc>
        <w:tc>
          <w:tcPr>
            <w:tcW w:type="dxa" w:w="141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S</w:t>
            </w:r>
          </w:p>
        </w:tc>
        <w:tc>
          <w:tcPr>
            <w:tcW w:type="dxa" w:w="56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Устойчивость к возмущениям и качество отрицательной обратной связи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Разнообразие</w:t>
            </w:r>
          </w:p>
        </w:tc>
        <w:tc>
          <w:tcPr>
            <w:tcW w:type="dxa" w:w="141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V</w:t>
            </w:r>
          </w:p>
        </w:tc>
        <w:tc>
          <w:tcPr>
            <w:tcW w:type="dxa" w:w="56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Наличие альтернативных состояний, модулей и траекторий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Энтропия</w:t>
            </w:r>
          </w:p>
        </w:tc>
        <w:tc>
          <w:tcPr>
            <w:tcW w:type="dxa" w:w="141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H</w:t>
            </w:r>
          </w:p>
        </w:tc>
        <w:tc>
          <w:tcPr>
            <w:tcW w:type="dxa" w:w="56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Неопределённость и распределённость состояний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Критичность</w:t>
            </w:r>
          </w:p>
        </w:tc>
        <w:tc>
          <w:tcPr>
            <w:tcW w:type="dxa" w:w="141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K</w:t>
            </w:r>
          </w:p>
        </w:tc>
        <w:tc>
          <w:tcPr>
            <w:tcW w:type="dxa" w:w="56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Близость динамики к границе затухания и хаоса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Хрупкость</w:t>
            </w:r>
          </w:p>
        </w:tc>
        <w:tc>
          <w:tcPr>
            <w:tcW w:type="dxa" w:w="141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R</w:t>
            </w:r>
          </w:p>
        </w:tc>
        <w:tc>
          <w:tcPr>
            <w:tcW w:type="dxa" w:w="56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Чувствительность системы к отказам и внешним ударам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Самомодель</w:t>
            </w:r>
          </w:p>
        </w:tc>
        <w:tc>
          <w:tcPr>
            <w:tcW w:type="dxa" w:w="141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M</w:t>
            </w:r>
          </w:p>
        </w:tc>
        <w:tc>
          <w:tcPr>
            <w:tcW w:type="dxa" w:w="56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Качество прогноза собственного будущего состояния</w:t>
            </w:r>
          </w:p>
        </w:tc>
      </w:tr>
    </w:tbl>
    <w:p>
      <w:pPr>
        <w:pStyle w:val="Heading1"/>
      </w:pPr>
      <w:r>
        <w:t>4. Математика Единого Баланса</w:t>
      </w:r>
    </w:p>
    <w:p>
      <w:r>
        <w:t>Единый Баланс не означает максимизацию одного показателя. Это область допустимого компромисса, где система одновременно сохраняет связность, поток, устойчивость и вариативность.</w:t>
      </w:r>
    </w:p>
    <w:p>
      <w:pPr>
        <w:jc w:val="center"/>
      </w:pPr>
      <w:r>
        <w:rPr>
          <w:b/>
          <w:sz w:val="24"/>
        </w:rPr>
        <w:t>B(X) = wI·I + wF·F + wS·S + wV·V − wH·Hₑ − wR·R</w:t>
      </w:r>
    </w:p>
    <w:p>
      <w:pPr>
        <w:jc w:val="center"/>
      </w:pPr>
      <w:r>
        <w:t>Hₑ — избыточная, дезорганизующая часть энтропии; веса w определяются задачей.</w:t>
      </w:r>
    </w:p>
    <w:p>
      <w:r>
        <w:t>Для задач развития удобно использовать функционал качества:</w:t>
      </w:r>
    </w:p>
    <w:p>
      <w:pPr>
        <w:jc w:val="center"/>
      </w:pPr>
      <w:r>
        <w:rPr>
          <w:b/>
          <w:sz w:val="24"/>
        </w:rPr>
        <w:t>Φ(X) = αC − βH − γD + δV + ηS − λR</w:t>
      </w:r>
    </w:p>
    <w:p>
      <w:r>
        <w:t>Здесь C — когерентность, D — конфликт между подсистемами. Управление формируется как движение по градиенту качества с ограничениями безопасности:</w:t>
      </w:r>
    </w:p>
    <w:p>
      <w:pPr>
        <w:jc w:val="center"/>
      </w:pPr>
      <w:r>
        <w:rPr>
          <w:b/>
          <w:sz w:val="24"/>
        </w:rPr>
        <w:t>dX/dt = G⁻¹∇Φ(X) − μ∇R(X) + U(t)</w:t>
      </w:r>
    </w:p>
    <w:p>
      <w:r>
        <w:t>G — метрика пространства состояний; U(t) — внешнее управленческое воздействие.</w:t>
      </w:r>
    </w:p>
    <w:p>
      <w:pPr>
        <w:pStyle w:val="Heading1"/>
      </w:pPr>
      <w:r>
        <w:t>5. Темометр критичности</w:t>
      </w:r>
    </w:p>
    <w:p>
      <w:r>
        <w:t>Критичность показывает, находится ли система в зоне затухания, продуктивной метастабильности или хаотической нестабильности. Базовым динамическим индикатором служит максимальный показатель Ляпунова.</w:t>
      </w:r>
    </w:p>
    <w:p>
      <w:pPr>
        <w:jc w:val="center"/>
      </w:pPr>
      <w:r>
        <w:rPr>
          <w:b/>
          <w:sz w:val="24"/>
        </w:rPr>
        <w:t>λmax = limₜ→∞ (1/t) ln(‖δX(t)‖ / ‖δX(0)‖)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2268"/>
            <w:shd w:fill="D9EAF7"/>
            <w:vAlign w:val="center"/>
          </w:tcPr>
          <w:p>
            <w:r>
              <w:rPr>
                <w:b/>
                <w:sz w:val="18"/>
              </w:rPr>
              <w:t>Режим</w:t>
            </w:r>
          </w:p>
        </w:tc>
        <w:tc>
          <w:tcPr>
            <w:tcW w:type="dxa" w:w="2268"/>
            <w:shd w:fill="D9EAF7"/>
            <w:vAlign w:val="center"/>
          </w:tcPr>
          <w:p>
            <w:r>
              <w:rPr>
                <w:b/>
                <w:sz w:val="18"/>
              </w:rPr>
              <w:t>Условие</w:t>
            </w:r>
          </w:p>
        </w:tc>
        <w:tc>
          <w:tcPr>
            <w:tcW w:type="dxa" w:w="5102"/>
            <w:shd w:fill="D9EAF7"/>
            <w:vAlign w:val="center"/>
          </w:tcPr>
          <w:p>
            <w:r>
              <w:rPr>
                <w:b/>
                <w:sz w:val="18"/>
              </w:rPr>
              <w:t>Интерпретация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Подкритический</w:t>
            </w:r>
          </w:p>
        </w:tc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λmax &lt; −ε</w:t>
            </w:r>
          </w:p>
        </w:tc>
        <w:tc>
          <w:tcPr>
            <w:tcW w:type="dxa" w:w="51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Система чрезмерно жёсткая; изменения затухают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Критический</w:t>
            </w:r>
          </w:p>
        </w:tc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|λmax| ≤ ε</w:t>
            </w:r>
          </w:p>
        </w:tc>
        <w:tc>
          <w:tcPr>
            <w:tcW w:type="dxa" w:w="51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Максимальная чувствительность при сохранении управляемости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Надкритический</w:t>
            </w:r>
          </w:p>
        </w:tc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λmax &gt; ε</w:t>
            </w:r>
          </w:p>
        </w:tc>
        <w:tc>
          <w:tcPr>
            <w:tcW w:type="dxa" w:w="51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Возмущения растут; повышается риск хаоса и коллапса</w:t>
            </w:r>
          </w:p>
        </w:tc>
      </w:tr>
    </w:tbl>
    <w:p>
      <w:r>
        <w:t>Для управленческой панели СПЕЦЗАЩИТЫ критичность должна рассчитываться одновременно на локальном, кластерном и системном уровнях.</w:t>
      </w:r>
    </w:p>
    <w:p>
      <w:pPr>
        <w:pStyle w:val="Heading1"/>
      </w:pPr>
      <w:r>
        <w:t>6. Структурная связанность и перколяция</w:t>
      </w:r>
    </w:p>
    <w:p>
      <w:r>
        <w:t>Структурная связанность определяет, способна ли система существовать как единое целое. Для графа G=(V,E) измеряются размер крупнейшей компоненты, средняя степень, кластеризация, длина пути, спектральная связность и устойчивость к удалению узлов.</w:t>
      </w:r>
    </w:p>
    <w:p>
      <w:pPr>
        <w:jc w:val="center"/>
      </w:pPr>
      <w:r>
        <w:rPr>
          <w:b/>
          <w:sz w:val="24"/>
        </w:rPr>
        <w:t>SC = (|Cmax|/|V|) · f(⟨k⟩, λ₂(L), Cclust, 1/Lpath)</w:t>
      </w:r>
    </w:p>
    <w:p>
      <w:r>
        <w:t>Ключевой момент — порог перколяции. Ниже него существуют отдельные фрагменты; после него появляется гигантская связная компонента. В системе СПЕЦЗАЩИТА это применимо к кооперационным цепочкам, инфраструктуре, информационным каналам и сети исполнителей.</w:t>
      </w:r>
    </w:p>
    <w:p>
      <w:pPr>
        <w:pStyle w:val="Heading1"/>
      </w:pPr>
      <w:r>
        <w:t>7. Косморитмология: временная архитектура системы</w:t>
      </w:r>
    </w:p>
    <w:p>
      <w:r>
        <w:t>Косморитмология в инженерной версии — дисциплина описания, сопоставления и использования циклов различных масштабов. Она не предполагает автоматически причинного влияния астрономических циклов на социальные события; её задача — создать единый временной координатный слой, в котором проверяются ритмы, лаги, резонансы и повторяемость.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2268"/>
            <w:shd w:fill="D9EAF7"/>
            <w:vAlign w:val="center"/>
          </w:tcPr>
          <w:p>
            <w:r>
              <w:rPr>
                <w:b/>
                <w:sz w:val="18"/>
              </w:rPr>
              <w:t>Класс цикла</w:t>
            </w:r>
          </w:p>
        </w:tc>
        <w:tc>
          <w:tcPr>
            <w:tcW w:type="dxa" w:w="3402"/>
            <w:shd w:fill="D9EAF7"/>
            <w:vAlign w:val="center"/>
          </w:tcPr>
          <w:p>
            <w:r>
              <w:rPr>
                <w:b/>
                <w:sz w:val="18"/>
              </w:rPr>
              <w:t>Примеры</w:t>
            </w:r>
          </w:p>
        </w:tc>
        <w:tc>
          <w:tcPr>
            <w:tcW w:type="dxa" w:w="3969"/>
            <w:shd w:fill="D9EAF7"/>
            <w:vAlign w:val="center"/>
          </w:tcPr>
          <w:p>
            <w:r>
              <w:rPr>
                <w:b/>
                <w:sz w:val="18"/>
              </w:rPr>
              <w:t>Практическая функция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Астрономический</w:t>
            </w:r>
          </w:p>
        </w:tc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сутки, год, синодический месяц, солнечный цикл</w:t>
            </w:r>
          </w:p>
        </w:tc>
        <w:tc>
          <w:tcPr>
            <w:tcW w:type="dxa" w:w="39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Временные метки, сезонность, фоновые условия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Природный</w:t>
            </w:r>
          </w:p>
        </w:tc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гидрология, климатическая сезонность, биологические циклы</w:t>
            </w:r>
          </w:p>
        </w:tc>
        <w:tc>
          <w:tcPr>
            <w:tcW w:type="dxa" w:w="39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Планирование мониторинга и ресурсов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Технологический</w:t>
            </w:r>
          </w:p>
        </w:tc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ТО, деградация оборудования, обновления ПО</w:t>
            </w:r>
          </w:p>
        </w:tc>
        <w:tc>
          <w:tcPr>
            <w:tcW w:type="dxa" w:w="39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Профилактика отказов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Экономический</w:t>
            </w:r>
          </w:p>
        </w:tc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производственные, финансовые, логистические циклы</w:t>
            </w:r>
          </w:p>
        </w:tc>
        <w:tc>
          <w:tcPr>
            <w:tcW w:type="dxa" w:w="39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Сценарное планирование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Социальный</w:t>
            </w:r>
          </w:p>
        </w:tc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календарные, образовательные, миграционные ритмы</w:t>
            </w:r>
          </w:p>
        </w:tc>
        <w:tc>
          <w:tcPr>
            <w:tcW w:type="dxa" w:w="39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Планирование нагрузок и коммуникаций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Проектный</w:t>
            </w:r>
          </w:p>
        </w:tc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спринт, этап, пилот, контрольная точка</w:t>
            </w:r>
          </w:p>
        </w:tc>
        <w:tc>
          <w:tcPr>
            <w:tcW w:type="dxa" w:w="3969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Рекурсия исполнения и контроль результата</w:t>
            </w:r>
          </w:p>
        </w:tc>
      </w:tr>
    </w:tbl>
    <w:p>
      <w:pPr>
        <w:pStyle w:val="Heading1"/>
      </w:pPr>
      <w:r>
        <w:t>8. Математика ритмов</w:t>
      </w:r>
    </w:p>
    <w:p>
      <w:r>
        <w:t>Любой наблюдаемый периодический компонент может быть представлен через гармонический базис:</w:t>
      </w:r>
    </w:p>
    <w:p>
      <w:pPr>
        <w:jc w:val="center"/>
      </w:pPr>
      <w:r>
        <w:rPr>
          <w:b/>
          <w:sz w:val="24"/>
        </w:rPr>
        <w:t>r(t) = a₀ + Σₖ [aₖ cos(2πfₖt) + bₖ sin(2πfₖt)]</w:t>
      </w:r>
    </w:p>
    <w:p>
      <w:r>
        <w:t>Для поиска доминирующих циклов используются спектральная плотность, вейвлет-анализ, автокорреляция и кросс-корреляция. Для пары процессов x(t) и y(t) оценивается лаговая связь:</w:t>
      </w:r>
    </w:p>
    <w:p>
      <w:pPr>
        <w:jc w:val="center"/>
      </w:pPr>
      <w:r>
        <w:rPr>
          <w:b/>
          <w:sz w:val="24"/>
        </w:rPr>
        <w:t>Cxy(τ) = E[(x(t)−μx)(y(t+τ)−μy)]</w:t>
      </w:r>
    </w:p>
    <w:p>
      <w:r>
        <w:t>Корреляция не считается доказательством причинности. Для причинных выводов требуются устойчивость эффекта, контроль смешивающих факторов, out-of-sample проверка и, где возможно, экспериментальный дизайн.</w:t>
      </w:r>
    </w:p>
    <w:p>
      <w:pPr>
        <w:pStyle w:val="Heading1"/>
      </w:pPr>
      <w:r>
        <w:t>9. Математика торов и многоциклическое время</w:t>
      </w:r>
    </w:p>
    <w:p>
      <w:r>
        <w:t>Когда система одновременно живёт в нескольких циклах, её фазовое состояние удобно помещать на n-мерный тор:</w:t>
      </w:r>
    </w:p>
    <w:p>
      <w:pPr>
        <w:jc w:val="center"/>
      </w:pPr>
      <w:r>
        <w:rPr>
          <w:b/>
          <w:sz w:val="24"/>
        </w:rPr>
        <w:t>Tⁿ = S¹ × S¹ × … × S¹,    θ(t) = (θ₁(t), …, θₙ(t))</w:t>
      </w:r>
    </w:p>
    <w:p>
      <w:pPr>
        <w:jc w:val="center"/>
      </w:pPr>
      <w:r>
        <w:rPr>
          <w:b/>
          <w:sz w:val="24"/>
        </w:rPr>
        <w:t>θₖ(t) = (2πt / Tₖ + φₖ) mod 2π</w:t>
      </w:r>
    </w:p>
    <w:p>
      <w:r>
        <w:t>Торическая модель позволяет различать совпадение фаз, квазипериодические режимы и окна повторного сближения циклов. Для СПЕЦЗАЩИТЫ это означает возможность рассчитывать не «магические даты», а воспроизводимые многопериодические окна наблюдения, обслуживания, обучения, мобилизации ресурсов и контроля риска.</w:t>
      </w:r>
    </w:p>
    <w:p>
      <w:pPr>
        <w:pStyle w:val="Heading1"/>
      </w:pPr>
      <w:r>
        <w:t>10. Рекурсия МетаПроекта</w:t>
      </w:r>
    </w:p>
    <w:p>
      <w:r>
        <w:t>Каждый исполнительный модуль СПЕЦЗАЩИТЫ должен повторять одну и ту же минимальную логику: входные данные → измерение → оценка риска → цель → действие → проверка → обучение. Рекурсивность делает систему масштабируемой: один и тот же протокол применяется к объекту, территории, отрасли, региону и сети регионов.</w:t>
      </w:r>
    </w:p>
    <w:p>
      <w:pPr>
        <w:jc w:val="center"/>
      </w:pPr>
      <w:r>
        <w:rPr>
          <w:b/>
          <w:sz w:val="24"/>
        </w:rPr>
        <w:t>Mₗ = {Observe, Measure, Forecast, Act, Validate}ₗ</w:t>
      </w:r>
    </w:p>
    <w:p>
      <w:r>
        <w:t>Связь уровней строится снизу вверх через агрегированные показатели и сверху вниз через ограничения, стандарты и приоритеты.</w:t>
      </w:r>
    </w:p>
    <w:p>
      <w:pPr>
        <w:pStyle w:val="Heading1"/>
      </w:pPr>
      <w:r>
        <w:t>11. Архитектура СПЕЦЗАЩИТА × Археометр × Косморитмология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268"/>
            <w:shd w:fill="D9EAF7"/>
            <w:vAlign w:val="center"/>
          </w:tcPr>
          <w:p>
            <w:r>
              <w:rPr>
                <w:b/>
                <w:sz w:val="18"/>
              </w:rPr>
              <w:t>Контур</w:t>
            </w:r>
          </w:p>
        </w:tc>
        <w:tc>
          <w:tcPr>
            <w:tcW w:type="dxa" w:w="2835"/>
            <w:shd w:fill="D9EAF7"/>
            <w:vAlign w:val="center"/>
          </w:tcPr>
          <w:p>
            <w:r>
              <w:rPr>
                <w:b/>
                <w:sz w:val="18"/>
              </w:rPr>
              <w:t>Вход</w:t>
            </w:r>
          </w:p>
        </w:tc>
        <w:tc>
          <w:tcPr>
            <w:tcW w:type="dxa" w:w="2835"/>
            <w:shd w:fill="D9EAF7"/>
            <w:vAlign w:val="center"/>
          </w:tcPr>
          <w:p>
            <w:r>
              <w:rPr>
                <w:b/>
                <w:sz w:val="18"/>
              </w:rPr>
              <w:t>Оператор</w:t>
            </w:r>
          </w:p>
        </w:tc>
        <w:tc>
          <w:tcPr>
            <w:tcW w:type="dxa" w:w="2835"/>
            <w:shd w:fill="D9EAF7"/>
            <w:vAlign w:val="center"/>
          </w:tcPr>
          <w:p>
            <w:r>
              <w:rPr>
                <w:b/>
                <w:sz w:val="18"/>
              </w:rPr>
              <w:t>Выход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Наблюдение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сенсоры, реестры, отчёты, телеметрия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очистка и нормализация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проверенный поток данных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Археометр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вектор состояния X(t)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расчёт B, Φ, λmax, SC, R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диагноз и индекс состояния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Косморитмология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временные ряды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спектр, лаги, фазы, торические координаты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окна риска и возможностей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Сценарный модуль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диагноз + циклы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моделирование альтернатив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набор сценариев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СПЕЦЗАЩИТА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сценарии и ограничения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выбор, координация, исполнение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мероприятия и пилоты</w:t>
            </w:r>
          </w:p>
        </w:tc>
      </w:tr>
      <w:tr>
        <w:tc>
          <w:tcPr>
            <w:tcW w:type="dxa" w:w="226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Валидация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фактический результат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сравнение прогноз/факт</w:t>
            </w:r>
          </w:p>
        </w:tc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обновление модели</w:t>
            </w:r>
          </w:p>
        </w:tc>
      </w:tr>
    </w:tbl>
    <w:p>
      <w:pPr>
        <w:pStyle w:val="Heading1"/>
      </w:pPr>
      <w:r>
        <w:t>12. Паспорт Археометра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2835"/>
            <w:shd w:fill="D9EAF7"/>
            <w:vAlign w:val="center"/>
          </w:tcPr>
          <w:p>
            <w:r>
              <w:rPr>
                <w:b/>
                <w:sz w:val="18"/>
              </w:rPr>
              <w:t>Поле паспорта</w:t>
            </w:r>
          </w:p>
        </w:tc>
        <w:tc>
          <w:tcPr>
            <w:tcW w:type="dxa" w:w="7937"/>
            <w:shd w:fill="D9EAF7"/>
            <w:vAlign w:val="center"/>
          </w:tcPr>
          <w:p>
            <w:r>
              <w:rPr>
                <w:b/>
                <w:sz w:val="18"/>
              </w:rPr>
              <w:t>Содержание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Код модуля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ARH-001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Назначение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Единая измерительная функция состояния и развития сложной системы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Объект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Граф, инфраструктура, проект, территория, экосистема, организационная сеть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Основные данные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Временные ряды, графовые данные, ресурсные и риск-показатели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Основные индексы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Баланс B, качество Φ, критичность λmax, связанность SC, хрупкость R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Частота расчёта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По типу объекта: от поточного режима до месячного/квартального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Критерий валидации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Прогноз должен улучшать качество решений относительно базовой модели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Выход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Паспорт состояния, карта рисков, карта связности, рекомендации по воздействию</w:t>
            </w:r>
          </w:p>
        </w:tc>
      </w:tr>
    </w:tbl>
    <w:p>
      <w:pPr>
        <w:pStyle w:val="Heading1"/>
      </w:pPr>
      <w:r>
        <w:t>13. Паспорт Косморитмологического модуля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2835"/>
            <w:shd w:fill="D9EAF7"/>
            <w:vAlign w:val="center"/>
          </w:tcPr>
          <w:p>
            <w:r>
              <w:rPr>
                <w:b/>
                <w:sz w:val="18"/>
              </w:rPr>
              <w:t>Поле паспорта</w:t>
            </w:r>
          </w:p>
        </w:tc>
        <w:tc>
          <w:tcPr>
            <w:tcW w:type="dxa" w:w="7937"/>
            <w:shd w:fill="D9EAF7"/>
            <w:vAlign w:val="center"/>
          </w:tcPr>
          <w:p>
            <w:r>
              <w:rPr>
                <w:b/>
                <w:sz w:val="18"/>
              </w:rPr>
              <w:t>Содержание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Код модуля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KRM-001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Назначение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Выявление устойчивых циклов и фазовых окон в наблюдаемых процессах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Методы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FFT/спектральный анализ, wavelet, ACF/CCF, фазовая синхронизация, торические координаты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Минимум данных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Достаточная длина временного ряда относительно исследуемого периода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Статус гипотез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Подтверждено / вероятностно / исследовательская гипотеза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Защита от ошибок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Контроль множественного тестирования, out-of-sample, альтернативные модели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Выход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Календарь фаз, циклические индексы, окна мониторинга, карта неопределённости</w:t>
            </w:r>
          </w:p>
        </w:tc>
      </w:tr>
    </w:tbl>
    <w:p>
      <w:pPr>
        <w:pStyle w:val="Heading1"/>
      </w:pPr>
      <w:r>
        <w:t>14. Прикладные сценарии СПЕЦЗАЩИТЫ</w:t>
      </w:r>
    </w:p>
    <w:p>
      <w:r>
        <w:rPr>
          <w:b/>
        </w:rPr>
        <w:t xml:space="preserve">Инфраструктурная устойчивость: </w:t>
      </w:r>
      <w:r>
        <w:t>Прогноз деградации объектов, сезонных нагрузок, отказов и оптимальных профилактических окон.</w:t>
      </w:r>
    </w:p>
    <w:p>
      <w:r>
        <w:rPr>
          <w:b/>
        </w:rPr>
        <w:t xml:space="preserve">Экологический мониторинг: </w:t>
      </w:r>
      <w:r>
        <w:t>Синхронизация наблюдений атмосферы, воды, почвы, биоценоза и техногенной нагрузки по природным циклам.</w:t>
      </w:r>
    </w:p>
    <w:p>
      <w:r>
        <w:rPr>
          <w:b/>
        </w:rPr>
        <w:t xml:space="preserve">Кооперационные цепочки: </w:t>
      </w:r>
      <w:r>
        <w:t>Измерение перколяции сети поставщиков, выявление узлов-одиночек и критических точек отказа.</w:t>
      </w:r>
    </w:p>
    <w:p>
      <w:r>
        <w:rPr>
          <w:b/>
        </w:rPr>
        <w:t xml:space="preserve">Кадры и мобилизация ресурсов: </w:t>
      </w:r>
      <w:r>
        <w:t>Сопоставление проектных циклов, доступности компетенций и критических фаз нагрузки.</w:t>
      </w:r>
    </w:p>
    <w:p>
      <w:r>
        <w:rPr>
          <w:b/>
        </w:rPr>
        <w:t xml:space="preserve">ИИ-экосистема: </w:t>
      </w:r>
      <w:r>
        <w:t>Контроль критичности, разнообразия, информационной интеграции и распределения вычислительных ресурсов.</w:t>
      </w:r>
    </w:p>
    <w:p>
      <w:r>
        <w:rPr>
          <w:b/>
        </w:rPr>
        <w:t xml:space="preserve">Кризисное управление: </w:t>
      </w:r>
      <w:r>
        <w:t>Переход от календарного реагирования к состоянию-событию: действие запускается при достижении порогов риска.</w:t>
      </w:r>
    </w:p>
    <w:p>
      <w:pPr>
        <w:pStyle w:val="Heading1"/>
      </w:pPr>
      <w:r>
        <w:t>15. Протокол решения</w:t>
      </w:r>
    </w:p>
    <w:p>
      <w:pPr>
        <w:pStyle w:val="ListNumber"/>
      </w:pPr>
      <w:r>
        <w:t>Идентифицировать объект и горизонт управления.</w:t>
      </w:r>
    </w:p>
    <w:p>
      <w:pPr>
        <w:pStyle w:val="ListNumber"/>
      </w:pPr>
      <w:r>
        <w:t>Сформировать вектор состояния X(t) и карту качества данных.</w:t>
      </w:r>
    </w:p>
    <w:p>
      <w:pPr>
        <w:pStyle w:val="ListNumber"/>
      </w:pPr>
      <w:r>
        <w:t>Вычислить баланс, связанность, критичность и хрупкость.</w:t>
      </w:r>
    </w:p>
    <w:p>
      <w:pPr>
        <w:pStyle w:val="ListNumber"/>
      </w:pPr>
      <w:r>
        <w:t>Определить доминирующие циклы и временные лаги.</w:t>
      </w:r>
    </w:p>
    <w:p>
      <w:pPr>
        <w:pStyle w:val="ListNumber"/>
      </w:pPr>
      <w:r>
        <w:t>Сформировать минимум три сценария: базовый, неблагоприятный, целевой.</w:t>
      </w:r>
    </w:p>
    <w:p>
      <w:pPr>
        <w:pStyle w:val="ListNumber"/>
      </w:pPr>
      <w:r>
        <w:t>Проверить ограничения безопасности и ресурсную реализуемость.</w:t>
      </w:r>
    </w:p>
    <w:p>
      <w:pPr>
        <w:pStyle w:val="ListNumber"/>
      </w:pPr>
      <w:r>
        <w:t>Запустить минимальное обратимое воздействие.</w:t>
      </w:r>
    </w:p>
    <w:p>
      <w:pPr>
        <w:pStyle w:val="ListNumber"/>
      </w:pPr>
      <w:r>
        <w:t>Сравнить прогноз с фактом и обновить параметры модели.</w:t>
      </w:r>
    </w:p>
    <w:p>
      <w:pPr>
        <w:pStyle w:val="Heading1"/>
      </w:pPr>
      <w:r>
        <w:t>16. Валидация и научная добросовестность</w:t>
      </w:r>
    </w:p>
    <w:p>
      <w:r>
        <w:t>Система считается рабочей не по красоте формул, а по способности стабильно улучшать решения. Поэтому каждый модуль должен иметь базовую модель сравнения и измеримый критерий выигрыша.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3402"/>
            <w:shd w:fill="D9EAF7"/>
            <w:vAlign w:val="center"/>
          </w:tcPr>
          <w:p>
            <w:r>
              <w:rPr>
                <w:b/>
                <w:sz w:val="18"/>
              </w:rPr>
              <w:t>Критерий</w:t>
            </w:r>
          </w:p>
        </w:tc>
        <w:tc>
          <w:tcPr>
            <w:tcW w:type="dxa" w:w="7370"/>
            <w:shd w:fill="D9EAF7"/>
            <w:vAlign w:val="center"/>
          </w:tcPr>
          <w:p>
            <w:r>
              <w:rPr>
                <w:b/>
                <w:sz w:val="18"/>
              </w:rPr>
              <w:t>Минимальное требование</w:t>
            </w:r>
          </w:p>
        </w:tc>
      </w:tr>
      <w:tr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Предсказательная точность</w:t>
            </w:r>
          </w:p>
        </w:tc>
        <w:tc>
          <w:tcPr>
            <w:tcW w:type="dxa" w:w="7370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лучше наивного/сезонного baseline на независимом периоде</w:t>
            </w:r>
          </w:p>
        </w:tc>
      </w:tr>
      <w:tr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Устойчивость</w:t>
            </w:r>
          </w:p>
        </w:tc>
        <w:tc>
          <w:tcPr>
            <w:tcW w:type="dxa" w:w="7370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результат сохраняется при разумном изменении параметров</w:t>
            </w:r>
          </w:p>
        </w:tc>
      </w:tr>
      <w:tr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Объяснимость</w:t>
            </w:r>
          </w:p>
        </w:tc>
        <w:tc>
          <w:tcPr>
            <w:tcW w:type="dxa" w:w="7370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понятны основные факторы и диапазон неопределённости</w:t>
            </w:r>
          </w:p>
        </w:tc>
      </w:tr>
      <w:tr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Воспроизводимость</w:t>
            </w:r>
          </w:p>
        </w:tc>
        <w:tc>
          <w:tcPr>
            <w:tcW w:type="dxa" w:w="7370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расчёт повторяется из тех же входных данных и версии алгоритма</w:t>
            </w:r>
          </w:p>
        </w:tc>
      </w:tr>
      <w:tr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Безопасность</w:t>
            </w:r>
          </w:p>
        </w:tc>
        <w:tc>
          <w:tcPr>
            <w:tcW w:type="dxa" w:w="7370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критические решения не принимаются только по одному индексу</w:t>
            </w:r>
          </w:p>
        </w:tc>
      </w:tr>
      <w:tr>
        <w:tc>
          <w:tcPr>
            <w:tcW w:type="dxa" w:w="3402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Причинность</w:t>
            </w:r>
          </w:p>
        </w:tc>
        <w:tc>
          <w:tcPr>
            <w:tcW w:type="dxa" w:w="7370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корреляционные сигналы отделяются от доказанных причинных связей</w:t>
            </w:r>
          </w:p>
        </w:tc>
      </w:tr>
    </w:tbl>
    <w:p>
      <w:pPr>
        <w:pStyle w:val="Heading1"/>
      </w:pPr>
      <w:r>
        <w:t>17. Дорожная карта внедрения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2835"/>
            <w:shd w:fill="D9EAF7"/>
            <w:vAlign w:val="center"/>
          </w:tcPr>
          <w:p>
            <w:r>
              <w:rPr>
                <w:b/>
                <w:sz w:val="18"/>
              </w:rPr>
              <w:t>Этап</w:t>
            </w:r>
          </w:p>
        </w:tc>
        <w:tc>
          <w:tcPr>
            <w:tcW w:type="dxa" w:w="1701"/>
            <w:shd w:fill="D9EAF7"/>
            <w:vAlign w:val="center"/>
          </w:tcPr>
          <w:p>
            <w:r>
              <w:rPr>
                <w:b/>
                <w:sz w:val="18"/>
              </w:rPr>
              <w:t>Срок</w:t>
            </w:r>
          </w:p>
        </w:tc>
        <w:tc>
          <w:tcPr>
            <w:tcW w:type="dxa" w:w="6236"/>
            <w:shd w:fill="D9EAF7"/>
            <w:vAlign w:val="center"/>
          </w:tcPr>
          <w:p>
            <w:r>
              <w:rPr>
                <w:b/>
                <w:sz w:val="18"/>
              </w:rPr>
              <w:t>Результат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0. Формализация</w:t>
            </w:r>
          </w:p>
        </w:tc>
        <w:tc>
          <w:tcPr>
            <w:tcW w:type="dxa" w:w="1701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0–2 мес.</w:t>
            </w:r>
          </w:p>
        </w:tc>
        <w:tc>
          <w:tcPr>
            <w:tcW w:type="dxa" w:w="6236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единый словарь показателей, 20–40 метрик, схема данных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1. MVP Археометра</w:t>
            </w:r>
          </w:p>
        </w:tc>
        <w:tc>
          <w:tcPr>
            <w:tcW w:type="dxa" w:w="1701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2–5 мес.</w:t>
            </w:r>
          </w:p>
        </w:tc>
        <w:tc>
          <w:tcPr>
            <w:tcW w:type="dxa" w:w="6236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расчёт B, λmax, SC, R на 1 пилотном объекте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2. Косморитмология</w:t>
            </w:r>
          </w:p>
        </w:tc>
        <w:tc>
          <w:tcPr>
            <w:tcW w:type="dxa" w:w="1701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4–7 мес.</w:t>
            </w:r>
          </w:p>
        </w:tc>
        <w:tc>
          <w:tcPr>
            <w:tcW w:type="dxa" w:w="6236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модуль временных рядов, циклов, фаз и лагов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3. Единая панель</w:t>
            </w:r>
          </w:p>
        </w:tc>
        <w:tc>
          <w:tcPr>
            <w:tcW w:type="dxa" w:w="1701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6–9 мес.</w:t>
            </w:r>
          </w:p>
        </w:tc>
        <w:tc>
          <w:tcPr>
            <w:tcW w:type="dxa" w:w="6236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диагностическая и сценарная панель СПЕЦЗАЩИТЫ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4. Полевой пилот</w:t>
            </w:r>
          </w:p>
        </w:tc>
        <w:tc>
          <w:tcPr>
            <w:tcW w:type="dxa" w:w="1701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9–15 мес.</w:t>
            </w:r>
          </w:p>
        </w:tc>
        <w:tc>
          <w:tcPr>
            <w:tcW w:type="dxa" w:w="6236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проверка на реальном объекте и контрольной группе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5. Стандарт</w:t>
            </w:r>
          </w:p>
        </w:tc>
        <w:tc>
          <w:tcPr>
            <w:tcW w:type="dxa" w:w="1701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12–18 мес.</w:t>
            </w:r>
          </w:p>
        </w:tc>
        <w:tc>
          <w:tcPr>
            <w:tcW w:type="dxa" w:w="6236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регламент данных, алгоритмов, валидации и аудита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6. Масштабирование</w:t>
            </w:r>
          </w:p>
        </w:tc>
        <w:tc>
          <w:tcPr>
            <w:tcW w:type="dxa" w:w="1701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18+ мес.</w:t>
            </w:r>
          </w:p>
        </w:tc>
        <w:tc>
          <w:tcPr>
            <w:tcW w:type="dxa" w:w="6236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тиражирование по территориям и отраслям</w:t>
            </w:r>
          </w:p>
        </w:tc>
      </w:tr>
    </w:tbl>
    <w:p>
      <w:pPr>
        <w:pStyle w:val="Heading1"/>
      </w:pPr>
      <w:r>
        <w:t>18. Минимальная модель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2835"/>
            <w:shd w:fill="D9EAF7"/>
            <w:vAlign w:val="center"/>
          </w:tcPr>
          <w:p>
            <w:r>
              <w:rPr>
                <w:b/>
                <w:sz w:val="18"/>
              </w:rPr>
              <w:t>Сущность</w:t>
            </w:r>
          </w:p>
        </w:tc>
        <w:tc>
          <w:tcPr>
            <w:tcW w:type="dxa" w:w="7937"/>
            <w:shd w:fill="D9EAF7"/>
            <w:vAlign w:val="center"/>
          </w:tcPr>
          <w:p>
            <w:r>
              <w:rPr>
                <w:b/>
                <w:sz w:val="18"/>
              </w:rPr>
              <w:t>Ключевые поля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Object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object_id, type, location_level, owner, criticality_class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Metric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metric_id, unit, normalization, source, quality_score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Observation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object_id, metric_id, timestamp, value, uncertainty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Relation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source_id, target_id, relation_type, weight, validity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Cycle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cycle_id, period, phase, confidence, domain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Risk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risk_id, probability, impact, horizon, evidence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Action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action_id, trigger, resource, expected_effect, reversibility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Validation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prediction_id, observed_effect, error, verdict</w:t>
            </w:r>
          </w:p>
        </w:tc>
      </w:tr>
    </w:tbl>
    <w:p>
      <w:pPr>
        <w:pStyle w:val="Heading1"/>
      </w:pPr>
      <w:r>
        <w:t>19. Десять принципов системы</w:t>
      </w:r>
    </w:p>
    <w:p>
      <w:pPr>
        <w:pStyle w:val="ListNumber"/>
      </w:pPr>
      <w:r>
        <w:t>Измеряемость выше декларации.</w:t>
      </w:r>
    </w:p>
    <w:p>
      <w:pPr>
        <w:pStyle w:val="ListNumber"/>
      </w:pPr>
      <w:r>
        <w:t>Динамика важнее статического рейтинга.</w:t>
      </w:r>
    </w:p>
    <w:p>
      <w:pPr>
        <w:pStyle w:val="ListNumber"/>
      </w:pPr>
      <w:r>
        <w:t>Баланс не равен покою: жизнеспособная система поддерживает контролируемый поток.</w:t>
      </w:r>
    </w:p>
    <w:p>
      <w:pPr>
        <w:pStyle w:val="ListNumber"/>
      </w:pPr>
      <w:r>
        <w:t>Критичность полезна только при работающих ограничениях и обратной связи.</w:t>
      </w:r>
    </w:p>
    <w:p>
      <w:pPr>
        <w:pStyle w:val="ListNumber"/>
      </w:pPr>
      <w:r>
        <w:t>Связанность должна расти без превращения в монокультуру.</w:t>
      </w:r>
    </w:p>
    <w:p>
      <w:pPr>
        <w:pStyle w:val="ListNumber"/>
      </w:pPr>
      <w:r>
        <w:t>Циклы используются как проверяемые временные структуры, а не как автоматические причинные объяснения.</w:t>
      </w:r>
    </w:p>
    <w:p>
      <w:pPr>
        <w:pStyle w:val="ListNumber"/>
      </w:pPr>
      <w:r>
        <w:t>Любая гипотеза имеет статус и уровень доверия.</w:t>
      </w:r>
    </w:p>
    <w:p>
      <w:pPr>
        <w:pStyle w:val="ListNumber"/>
      </w:pPr>
      <w:r>
        <w:t>Любое воздействие должно иметь критерий прекращения и обратимости.</w:t>
      </w:r>
    </w:p>
    <w:p>
      <w:pPr>
        <w:pStyle w:val="ListNumber"/>
      </w:pPr>
      <w:r>
        <w:t>Прогноз без валидации не становится знанием.</w:t>
      </w:r>
    </w:p>
    <w:p>
      <w:pPr>
        <w:pStyle w:val="ListNumber"/>
      </w:pPr>
      <w:r>
        <w:t>СПЕЦЗАЩИТА отвечает за превращение модели в измеримый результат.</w:t>
      </w:r>
    </w:p>
    <w:p>
      <w:pPr>
        <w:pStyle w:val="Heading1"/>
      </w:pPr>
      <w:r>
        <w:t>20. Итоговая формула</w:t>
      </w:r>
    </w:p>
    <w:p>
      <w:r>
        <w:t>В единой архитектуре Археометр отвечает на вопрос «в каком состоянии находится система и куда она движется», Косморитмология — «в какой фазе и временном контексте она находится», а СПЕЦЗАЩИТА — «что именно необходимо сделать, кем, когда и с каким проверяемым результатом».</w:t>
      </w:r>
    </w:p>
    <w:p>
      <w:pPr>
        <w:jc w:val="center"/>
      </w:pPr>
      <w:r>
        <w:rPr>
          <w:b/>
          <w:sz w:val="24"/>
        </w:rPr>
        <w:t>РЕЗУЛЬТАТ = ДАННЫЕ × СВЯЗАННОСТЬ × ВРЕМЯ × БАЛАНС × ИСПОЛНЕНИЕ</w:t>
      </w:r>
    </w:p>
    <w:p>
      <w:r>
        <w:t>Фундаментальная задача — не удерживать систему в неподвижном равновесии, а поддерживать её в диапазоне устойчивого развития: достаточно связной для кооперации, достаточно разнообразной для адаптации, достаточно критичной для чувствительности и достаточно стабилизированной для предотвращения разрушения.</w:t>
      </w:r>
    </w:p>
    <w:p>
      <w:pPr>
        <w:pStyle w:val="Heading1"/>
      </w:pPr>
      <w:r>
        <w:t>Приложение А. Краткий словарь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2835"/>
            <w:shd w:fill="D9EAF7"/>
            <w:vAlign w:val="center"/>
          </w:tcPr>
          <w:p>
            <w:r>
              <w:rPr>
                <w:b/>
                <w:sz w:val="18"/>
              </w:rPr>
              <w:t>Термин</w:t>
            </w:r>
          </w:p>
        </w:tc>
        <w:tc>
          <w:tcPr>
            <w:tcW w:type="dxa" w:w="7937"/>
            <w:shd w:fill="D9EAF7"/>
            <w:vAlign w:val="center"/>
          </w:tcPr>
          <w:p>
            <w:r>
              <w:rPr>
                <w:b/>
                <w:sz w:val="18"/>
              </w:rPr>
              <w:t>Рабочее определение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Археометр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оператор измерения и гармонизации многомерной системы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Косморитмология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анализ и совместное описание циклов разных временных масштабов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Единый Баланс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область устойчивого компромисса между связностью, потоком, стабильностью и разнообразием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Критичность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близость системы к границе между затуханием и нестабильностью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Перколяция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появление глобально связной компоненты после прохождения порога связности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Аттрактор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область фазового пространства, к которой тяготеет динамика системы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Рекурсия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повторение одного управляющего цикла на разных уровнях системы</w:t>
            </w:r>
          </w:p>
        </w:tc>
      </w:tr>
      <w:tr>
        <w:tc>
          <w:tcPr>
            <w:tcW w:type="dxa" w:w="2835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Торическая модель</w:t>
            </w:r>
          </w:p>
        </w:tc>
        <w:tc>
          <w:tcPr>
            <w:tcW w:type="dxa" w:w="7937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8"/>
              </w:rPr>
              <w:t>представление нескольких независимых циклических фаз на Tⁿ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sz w:val="16"/>
      </w:rPr>
      <w:t xml:space="preserve">Стратегический концептуально-технический документ  |  стр. </w:t>
    </w:r>
    <w:r>
      <w:rPr>
        <w:rFonts w:ascii="Liberation Sans" w:hAnsi="Liberation Sans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sz w:val="16"/>
      </w:rPr>
      <w:t>СПЕЦЗАЩИТА  •  АРХЕОМЕТР  •  КОСМОРИТМОЛОГИЯ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Liberation Sans" w:hAnsi="Liberation Sans" w:eastAsia="Liberation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23A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285B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4A6C7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color w:val="123A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