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spacing w:after="880"/>
      </w:pPr>
      <w:r>
        <w:rPr>
          <w:rFonts w:ascii="Arial" w:hAnsi="Arial" w:eastAsia="Arial"/>
          <w:b/>
          <w:color w:val="C9A227"/>
          <w:sz w:val="18"/>
        </w:rPr>
        <w:t>ПРОЕКТ «БАЛАНСЫ»  •  РАБОЧИЙ СТРАТЕГИЧЕСКИЙ ДОКУМЕНТ</w:t>
      </w:r>
    </w:p>
    <w:p>
      <w:pPr>
        <w:pStyle w:val="Title"/>
        <w:spacing w:after="240"/>
      </w:pPr>
      <w:r>
        <w:rPr>
          <w:rFonts w:ascii="Arial" w:hAnsi="Arial" w:eastAsia="Arial"/>
          <w:b/>
          <w:color w:val="17365D"/>
          <w:sz w:val="60"/>
        </w:rPr>
        <w:t>Анализ национальных</w:t>
        <w:br/>
        <w:t>балансов России</w:t>
        <w:br/>
        <w:t>за 30 лет</w:t>
      </w:r>
    </w:p>
    <w:p>
      <w:pPr>
        <w:pStyle w:val="Subtitle"/>
      </w:pPr>
      <w:r>
        <w:rPr>
          <w:rFonts w:ascii="Arial" w:hAnsi="Arial" w:eastAsia="Arial"/>
          <w:b/>
          <w:color w:val="2E74B5"/>
          <w:sz w:val="40"/>
        </w:rPr>
        <w:t>1995–2025</w:t>
      </w:r>
    </w:p>
    <w:p>
      <w:pPr>
        <w:pStyle w:val="Subtitle"/>
        <w:spacing w:after="680"/>
      </w:pPr>
      <w:r>
        <w:rPr>
          <w:rFonts w:ascii="Arial" w:hAnsi="Arial" w:eastAsia="Arial"/>
          <w:color w:val="1F4D78"/>
          <w:sz w:val="30"/>
        </w:rPr>
        <w:t>Системная диагностика запасов, потоков,</w:t>
        <w:br/>
        <w:t>воспроизводства и устойчивости</w:t>
      </w:r>
    </w:p>
    <w:p>
      <w:pPr>
        <w:pStyle w:val="Callout"/>
        <w:shd w:fill="F7F1D9"/>
        <w:pBdr>
          <w:left w:val="single" w:sz="22" w:space="6" w:color="C9A227"/>
        </w:pBdr>
      </w:pPr>
      <w:r>
        <w:rPr>
          <w:rFonts w:ascii="Arial" w:hAnsi="Arial" w:eastAsia="Arial"/>
          <w:b/>
          <w:color w:val="C9A227"/>
        </w:rPr>
        <w:t xml:space="preserve">Ключевой тезис  </w:t>
      </w:r>
      <w:r>
        <w:rPr>
          <w:rFonts w:ascii="Arial" w:hAnsi="Arial" w:eastAsia="Arial"/>
          <w:b w:val="0"/>
          <w:color w:val="17365D"/>
        </w:rPr>
        <w:t>Россия перешла от дефицита базовой устойчивости к профициту суверенных запасов, но не достигла сбалансированного воспроизводства человека, технологий и основных фондов.</w:t>
      </w:r>
    </w:p>
    <w:p>
      <w:pPr>
        <w:spacing w:before="840"/>
      </w:pPr>
      <w:r>
        <w:rPr>
          <w:rFonts w:ascii="Arial" w:hAnsi="Arial" w:eastAsia="Arial"/>
          <w:b/>
          <w:color w:val="5B6573"/>
          <w:sz w:val="20"/>
        </w:rPr>
        <w:t>Подготовлено для: Соколова Сергея Леонидовича</w:t>
        <w:br/>
      </w:r>
      <w:r>
        <w:rPr>
          <w:rFonts w:ascii="Arial" w:hAnsi="Arial" w:eastAsia="Arial"/>
          <w:b w:val="0"/>
          <w:color w:val="5B6573"/>
          <w:sz w:val="20"/>
        </w:rPr>
        <w:t>Горизонт данных: 1995–2025</w:t>
        <w:br/>
      </w:r>
      <w:r>
        <w:rPr>
          <w:rFonts w:ascii="Arial" w:hAnsi="Arial" w:eastAsia="Arial"/>
          <w:b w:val="0"/>
          <w:color w:val="5B6573"/>
          <w:sz w:val="20"/>
        </w:rPr>
        <w:t>Дата среза: 27 августа 2026 года</w:t>
        <w:br/>
      </w:r>
      <w:r>
        <w:rPr>
          <w:rFonts w:ascii="Arial" w:hAnsi="Arial" w:eastAsia="Arial"/>
          <w:b w:val="0"/>
          <w:color w:val="5B6573"/>
          <w:sz w:val="20"/>
        </w:rPr>
        <w:t>Москва • 2026 • Версия 1.0</w:t>
        <w:br/>
      </w:r>
    </w:p>
    <w:p>
      <w:r>
        <w:br w:type="page"/>
      </w:r>
    </w:p>
    <w:p>
      <w:bookmarkStart w:id="1" w:name="passport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Паспорт документа</w:t>
      </w:r>
      <w:bookmarkEnd w:id="1"/>
    </w:p>
    <w:p>
      <w:pPr>
        <w:pStyle w:val="Caption"/>
      </w:pPr>
      <w:r>
        <w:rPr>
          <w:rFonts w:ascii="Arial" w:hAnsi="Arial" w:eastAsia="Arial"/>
        </w:rPr>
        <w:t>Таблица 1. Рамка исследования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7660"/>
      </w:tblGrid>
      <w:tr>
        <w:trPr>
          <w:tblHeader w:val="true"/>
          <w:cantSplit/>
        </w:trPr>
        <w:tc>
          <w:tcPr>
            <w:tcW w:type="dxa" w:w="1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Параметр</w:t>
            </w:r>
          </w:p>
        </w:tc>
        <w:tc>
          <w:tcPr>
            <w:tcW w:type="dxa" w:w="76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Содержание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Предмет</w:t>
            </w:r>
          </w:p>
        </w:tc>
        <w:tc>
          <w:tcPr>
            <w:tcW w:type="dxa" w:w="7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Связанная система демографического, социального, макроэкономического, финансового, внешнего, производственного, технологического, ресурсного, инфраструктурного, территориального и экологического балансов.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Период</w:t>
            </w:r>
          </w:p>
        </w:tc>
        <w:tc>
          <w:tcPr>
            <w:tcW w:type="dxa" w:w="7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1995–2025 годы; более ранние значения приводятся только как база. Данные за 2025 год — окончательные или предварительные по состоянию на дату среза.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Единица анализа</w:t>
            </w:r>
          </w:p>
        </w:tc>
        <w:tc>
          <w:tcPr>
            <w:tcW w:type="dxa" w:w="7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Запас → приток → воспроизводство → использование → отток → потери → обязательства.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Назначение</w:t>
            </w:r>
          </w:p>
        </w:tc>
        <w:tc>
          <w:tcPr>
            <w:tcW w:type="dxa" w:w="7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Стратегическая диагностика: где запас устойчивости уже создан, где поток ухудшается, а где нарушен сам механизм воспроизводства.</w:t>
            </w:r>
          </w:p>
        </w:tc>
      </w:tr>
      <w:tr>
        <w:trPr>
          <w:cantSplit/>
        </w:trPr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Статус оценок</w:t>
            </w:r>
          </w:p>
        </w:tc>
        <w:tc>
          <w:tcPr>
            <w:tcW w:type="dxa" w:w="7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Статистические факты отделены от экспертных синтетических оценок. Цветовая матрица не является официальным государственным индексом.</w:t>
            </w:r>
          </w:p>
        </w:tc>
      </w:tr>
    </w:tbl>
    <w:p>
      <w:pPr>
        <w:pStyle w:val="Callout"/>
        <w:shd w:fill="E8EEF5"/>
        <w:pBdr>
          <w:left w:val="single" w:sz="22" w:space="6" w:color="2E74B5"/>
        </w:pBdr>
      </w:pPr>
      <w:r>
        <w:rPr>
          <w:rFonts w:ascii="Arial" w:hAnsi="Arial" w:eastAsia="Arial"/>
          <w:b/>
          <w:color w:val="2E74B5"/>
        </w:rPr>
        <w:t xml:space="preserve">Как читать выводы  </w:t>
      </w:r>
      <w:r>
        <w:rPr>
          <w:rFonts w:ascii="Arial" w:hAnsi="Arial" w:eastAsia="Arial"/>
          <w:b w:val="0"/>
          <w:color w:val="17365D"/>
        </w:rPr>
        <w:t>Профицит отдельного контура не равен устойчивости всей системы. Например, экспортный или бюджетный резерв может сосуществовать с демографическим дефицитом, износом фондов и технологической зависимостью.</w:t>
      </w:r>
    </w:p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Ограничения сопоставимости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Территориальная база менялась; после 2014 и 2022 годов длинные ряды населения и региональных показателей требуют отдельной маркировки.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Переходы между классификаторами ОКВЭД, пересмотры национальных счетов, обследований рабочей силы и методики бедности образуют разрывы рядов.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После 2022 года детализация части внешнеторговой и отраслевой статистики ограничена; там, где полного ряда нет, используются агрегаты Банка России и Росстата.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Стоимостные показатели не сравниваются напрямую без дефлятирования; приоритет отдан реальным индексам, долям ВВП и физическим объемам.</w:t>
      </w:r>
    </w:p>
    <w:p>
      <w:bookmarkStart w:id="2" w:name="summary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Резюме для принятия решений</w:t>
      </w:r>
      <w:bookmarkEnd w:id="2"/>
    </w:p>
    <w:p>
      <w:pPr>
        <w:pStyle w:val="Lead"/>
      </w:pPr>
      <w:r>
        <w:rPr>
          <w:rFonts w:ascii="Arial" w:hAnsi="Arial" w:eastAsia="Arial"/>
        </w:rPr>
        <w:t>Тридцатилетняя траектория России — это не линейный путь от кризиса к устойчивости, а смена типа дисбаланса. В 1990-е доминировал дефицит ликвидности и институтов; в 2000-е — восстановление на базе незагруженных мощностей и экспортной ренты; в 2010-е — замедление при уже созданных резервах; в 2020-е — вынужденная структурная адаптация, сопровождаемая дефицитом труда, капитала и технологий.</w:t>
      </w:r>
    </w:p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Двенадцать выводов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Суверенный баланс стал сильнее. Низкая долговая нагрузка государства, международные резервы и устойчиво положительный товарный баланс создают защиту от классического платежного кризиса 1990-х.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Темп роста стал слабее качества запасов. Почти двукратный реальный рост ВВП в 1999–2008 годах сменился средним темпом около 1% в 2014–2019 годах; в 2025 году рост замедлился до 1,0%.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Финансовая устойчивость все хуже конвертируется в инвестиционный поток. В 2025 году экономика в целом была чистым кредитором, но нефинансовые корпорации — чистым заемщиком, а высокая стоимость денег сдерживала обновление мощностей.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Демография стала главным системным дефицитом. Число рождений в 2024 году составило около 1,22 млн — меньше, чем в середине 1990-х; краткое окно естественного равновесия 2013–2015 годов закрылось.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Рынок труда одновременно силен и уязвим. Безработица 2,2% в 2025 году означает почти полную загрузку предложения труда, но также хронический кадровый дефицит и давление на себестоимость.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Социальный баланс улучшился по бедности, но не завершен по качеству доходов. Доля населения ниже границы бедности снизилась с 29,0% в 2000 году до 6,7% в 2025 году; разрыв по регионам и группам остается существенным.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Научно-технологический контур не воспроизводит масштаб. Персонал исследований и разработок сократился примерно с 1,06 млн человек в 1995 году до 676 тыс. в 2024 году, а затраты остаются около 1% ВВП.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Основные фонды являются скрытым обязательством. Средняя степень износа достигла 42,3% в 2024 году; в ряде инфраструктурных и коммунальных систем она выше.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Энергетический и продовольственный балансы физически устойчивы, но ценность экспорта зависит от глубины переработки, логистики и доступа к технологиям.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Территориальный баланс не выровнен. Концентрация людей, доходов, инвестиций и научных кадров в нескольких агломерациях усиливает отток из периферийных регионов.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Экологический баланс остается отрицательным по накоплению отходов и локальному износу природных систем. Масса отходов производства и потребления в 2024 году — около 8,5 млрд тонн.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Главная задача 2026–2035 годов — переключить политику с защиты запасов на воспроизводство потоков: людей, компетенций, основного капитала, технологий, почв, воды и экосистем.</w:t>
      </w:r>
    </w:p>
    <w:p>
      <w:pPr>
        <w:pStyle w:val="Callout"/>
        <w:shd w:fill="F7F1D9"/>
        <w:pBdr>
          <w:left w:val="single" w:sz="22" w:space="6" w:color="C9A227"/>
        </w:pBdr>
      </w:pPr>
      <w:r>
        <w:rPr>
          <w:rFonts w:ascii="Arial" w:hAnsi="Arial" w:eastAsia="Arial"/>
          <w:b/>
          <w:color w:val="C9A227"/>
        </w:rPr>
        <w:t xml:space="preserve">Формула эпохи  </w:t>
      </w:r>
      <w:r>
        <w:rPr>
          <w:rFonts w:ascii="Arial" w:hAnsi="Arial" w:eastAsia="Arial"/>
          <w:b w:val="0"/>
          <w:color w:val="17365D"/>
        </w:rPr>
        <w:t>Сильный баланс запасов — напряженный баланс потоков. Решение не в расходовании резервов как таковом, а в их превращении в производительность, человеческий капитал и более долгий жизненный цикл активов.</w:t>
      </w:r>
    </w:p>
    <w:p>
      <w:pPr>
        <w:pStyle w:val="Caption"/>
      </w:pPr>
      <w:r>
        <w:rPr>
          <w:rFonts w:ascii="Arial" w:hAnsi="Arial" w:eastAsia="Arial"/>
        </w:rPr>
        <w:t>Таблица 2. Сводная панель состояния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450"/>
        <w:gridCol w:w="1250"/>
        <w:gridCol w:w="3000"/>
        <w:gridCol w:w="3660"/>
      </w:tblGrid>
      <w:tr>
        <w:trPr>
          <w:tblHeader w:val="true"/>
          <w:cantSplit/>
        </w:trPr>
        <w:tc>
          <w:tcPr>
            <w:tcW w:type="dxa" w:w="14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Контур</w:t>
            </w:r>
          </w:p>
        </w:tc>
        <w:tc>
          <w:tcPr>
            <w:tcW w:type="dxa" w:w="12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Статус 2025</w:t>
            </w:r>
          </w:p>
        </w:tc>
        <w:tc>
          <w:tcPr>
            <w:tcW w:type="dxa" w:w="30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Что удерживает</w:t>
            </w:r>
          </w:p>
        </w:tc>
        <w:tc>
          <w:tcPr>
            <w:tcW w:type="dxa" w:w="36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Главный разрыв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Демография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Критический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Миграционный приток, крупные поколения старших возрастов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Низкая рождаемость, старение, региональный отток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Макроэкономика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Неустойчивый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Полная загрузка труда и мощностей, бюджетный спрос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Рост 1,0%, высокая инфляционная чувствительность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Бюджет и долг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Напряженный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Госдолг около 15% ВВП, ФНБ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Дефицит 2025 года, зависимость доходов от сырьевой конъюнктуры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Деньги и финансы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Напряженный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Капитал банков, сбережения населения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Средняя ключевая ставка 19,2% в 2025 году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Внешний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Устойчивый с оговорками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Профицит товаров и текущего счета, резервы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Сужение профицита, ограничения активов и расчетов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Труд и доходы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Неустойчивый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Низкая безработица, рост зарплат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Дефицит кадров, производительность, неравномерность доходов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Наука и технологии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Напряженный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Кадровые школы, спрос на локализацию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НИОКР около 1% ВВП, сокращение персонала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Энергия и ресурсы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Устойчивый с оговорками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Масштаб запасов и производства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Глубина переработки, логистика, углеродные риски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Продовольствие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Устойчивый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Рост урожайности и экспорта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Семена, техника, климатическая волатильность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Инфраструктура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Неустойчивый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Высокий ввод жилья, новые коридоры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Износ сетей, узкие места, обслуживание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Территории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Напряженный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Агломерационные эффекты, опорные города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Концентрация капитала и демографическая поляризация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Экология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Напряженный</w:t>
            </w:r>
          </w:p>
        </w:tc>
        <w:tc>
          <w:tcPr>
            <w:tcW w:type="dxa" w:w="3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Природный капитал, природоохранные программы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Отходы, вода, воздух, накопленный ущерб</w:t>
            </w:r>
          </w:p>
        </w:tc>
      </w:tr>
    </w:tbl>
    <w:p>
      <w:pPr>
        <w:pStyle w:val="Source"/>
      </w:pPr>
      <w:r>
        <w:rPr>
          <w:rFonts w:ascii="Arial" w:hAnsi="Arial" w:eastAsia="Arial"/>
        </w:rPr>
      </w:r>
      <w:r>
        <w:rPr>
          <w:rFonts w:ascii="Arial" w:hAnsi="Arial" w:eastAsia="Arial"/>
          <w:i/>
          <w:color w:val="5B6573"/>
          <w:sz w:val="17"/>
        </w:rPr>
        <w:t xml:space="preserve">Источник: </w:t>
      </w:r>
      <w:r>
        <w:rPr>
          <w:rFonts w:ascii="Arial" w:hAnsi="Arial" w:eastAsia="Arial"/>
          <w:i/>
          <w:color w:val="5B6573"/>
          <w:sz w:val="17"/>
        </w:rPr>
        <w:t>Экспертная синтетическая оценка автора на основе официальных рядов; не официальный индекс.</w:t>
      </w:r>
    </w:p>
    <w:p>
      <w:bookmarkStart w:id="3" w:name="contents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Содержание</w:t>
      </w:r>
      <w:bookmarkEnd w:id="3"/>
    </w:p>
    <w:p>
      <w:pPr>
        <w:spacing w:after="100"/>
      </w:pPr>
      <w:hyperlink w:anchor="method" w:history="1">
        <w:r>
          <w:rPr>
            <w:color w:val="2E74B5"/>
            <w:u w:val="single"/>
            <w:rFonts w:ascii="Arial" w:hAnsi="Arial" w:eastAsia="Arial"/>
          </w:rPr>
          <w:t>1. Метод национальных балансов</w:t>
        </w:r>
      </w:hyperlink>
    </w:p>
    <w:p>
      <w:pPr>
        <w:spacing w:after="100"/>
      </w:pPr>
      <w:hyperlink w:anchor="periods" w:history="1">
        <w:r>
          <w:rPr>
            <w:color w:val="2E74B5"/>
            <w:u w:val="single"/>
            <w:rFonts w:ascii="Arial" w:hAnsi="Arial" w:eastAsia="Arial"/>
          </w:rPr>
          <w:t>2. Тридцать лет: шесть режимов</w:t>
        </w:r>
      </w:hyperlink>
    </w:p>
    <w:p>
      <w:pPr>
        <w:spacing w:after="100"/>
      </w:pPr>
      <w:hyperlink w:anchor="macro" w:history="1">
        <w:r>
          <w:rPr>
            <w:color w:val="2E74B5"/>
            <w:u w:val="single"/>
            <w:rFonts w:ascii="Arial" w:hAnsi="Arial" w:eastAsia="Arial"/>
          </w:rPr>
          <w:t>3. Производство, инвестиции и производительность</w:t>
        </w:r>
      </w:hyperlink>
    </w:p>
    <w:p>
      <w:pPr>
        <w:spacing w:after="100"/>
      </w:pPr>
      <w:hyperlink w:anchor="finance" w:history="1">
        <w:r>
          <w:rPr>
            <w:color w:val="2E74B5"/>
            <w:u w:val="single"/>
            <w:rFonts w:ascii="Arial" w:hAnsi="Arial" w:eastAsia="Arial"/>
          </w:rPr>
          <w:t>4. Бюджет, деньги и финансовые потоки</w:t>
        </w:r>
      </w:hyperlink>
    </w:p>
    <w:p>
      <w:pPr>
        <w:spacing w:after="100"/>
      </w:pPr>
      <w:hyperlink w:anchor="external" w:history="1">
        <w:r>
          <w:rPr>
            <w:color w:val="2E74B5"/>
            <w:u w:val="single"/>
            <w:rFonts w:ascii="Arial" w:hAnsi="Arial" w:eastAsia="Arial"/>
          </w:rPr>
          <w:t>5. Внешний баланс</w:t>
        </w:r>
      </w:hyperlink>
    </w:p>
    <w:p>
      <w:pPr>
        <w:spacing w:after="100"/>
      </w:pPr>
      <w:hyperlink w:anchor="demography" w:history="1">
        <w:r>
          <w:rPr>
            <w:color w:val="2E74B5"/>
            <w:u w:val="single"/>
            <w:rFonts w:ascii="Arial" w:hAnsi="Arial" w:eastAsia="Arial"/>
          </w:rPr>
          <w:t>6. Демографический баланс</w:t>
        </w:r>
      </w:hyperlink>
    </w:p>
    <w:p>
      <w:pPr>
        <w:spacing w:after="100"/>
      </w:pPr>
      <w:hyperlink w:anchor="human" w:history="1">
        <w:r>
          <w:rPr>
            <w:color w:val="2E74B5"/>
            <w:u w:val="single"/>
            <w:rFonts w:ascii="Arial" w:hAnsi="Arial" w:eastAsia="Arial"/>
          </w:rPr>
          <w:t>7. Труд, доходы и человеческий капитал</w:t>
        </w:r>
      </w:hyperlink>
    </w:p>
    <w:p>
      <w:pPr>
        <w:spacing w:after="100"/>
      </w:pPr>
      <w:hyperlink w:anchor="technology" w:history="1">
        <w:r>
          <w:rPr>
            <w:color w:val="2E74B5"/>
            <w:u w:val="single"/>
            <w:rFonts w:ascii="Arial" w:hAnsi="Arial" w:eastAsia="Arial"/>
          </w:rPr>
          <w:t>8. Промышленность, технологии и наука</w:t>
        </w:r>
      </w:hyperlink>
    </w:p>
    <w:p>
      <w:pPr>
        <w:spacing w:after="100"/>
      </w:pPr>
      <w:hyperlink w:anchor="energy" w:history="1">
        <w:r>
          <w:rPr>
            <w:color w:val="2E74B5"/>
            <w:u w:val="single"/>
            <w:rFonts w:ascii="Arial" w:hAnsi="Arial" w:eastAsia="Arial"/>
          </w:rPr>
          <w:t>9. Энергетический и материальный баланс</w:t>
        </w:r>
      </w:hyperlink>
    </w:p>
    <w:p>
      <w:pPr>
        <w:spacing w:after="100"/>
      </w:pPr>
      <w:hyperlink w:anchor="food" w:history="1">
        <w:r>
          <w:rPr>
            <w:color w:val="2E74B5"/>
            <w:u w:val="single"/>
            <w:rFonts w:ascii="Arial" w:hAnsi="Arial" w:eastAsia="Arial"/>
          </w:rPr>
          <w:t>10. Продовольствие, земля и вода</w:t>
        </w:r>
      </w:hyperlink>
    </w:p>
    <w:p>
      <w:pPr>
        <w:spacing w:after="100"/>
      </w:pPr>
      <w:hyperlink w:anchor="infra" w:history="1">
        <w:r>
          <w:rPr>
            <w:color w:val="2E74B5"/>
            <w:u w:val="single"/>
            <w:rFonts w:ascii="Arial" w:hAnsi="Arial" w:eastAsia="Arial"/>
          </w:rPr>
          <w:t>11. Инфраструктура и жилье</w:t>
        </w:r>
      </w:hyperlink>
    </w:p>
    <w:p>
      <w:pPr>
        <w:spacing w:after="100"/>
      </w:pPr>
      <w:hyperlink w:anchor="territory" w:history="1">
        <w:r>
          <w:rPr>
            <w:color w:val="2E74B5"/>
            <w:u w:val="single"/>
            <w:rFonts w:ascii="Arial" w:hAnsi="Arial" w:eastAsia="Arial"/>
          </w:rPr>
          <w:t>12. Территориальный баланс</w:t>
        </w:r>
      </w:hyperlink>
    </w:p>
    <w:p>
      <w:pPr>
        <w:spacing w:after="100"/>
      </w:pPr>
      <w:hyperlink w:anchor="ecology" w:history="1">
        <w:r>
          <w:rPr>
            <w:color w:val="2E74B5"/>
            <w:u w:val="single"/>
            <w:rFonts w:ascii="Arial" w:hAnsi="Arial" w:eastAsia="Arial"/>
          </w:rPr>
          <w:t>13. Экология и климат</w:t>
        </w:r>
      </w:hyperlink>
    </w:p>
    <w:p>
      <w:pPr>
        <w:spacing w:after="100"/>
      </w:pPr>
      <w:hyperlink w:anchor="matrix" w:history="1">
        <w:r>
          <w:rPr>
            <w:color w:val="2E74B5"/>
            <w:u w:val="single"/>
            <w:rFonts w:ascii="Arial" w:hAnsi="Arial" w:eastAsia="Arial"/>
          </w:rPr>
          <w:t>14. Интегральная матрица</w:t>
        </w:r>
      </w:hyperlink>
    </w:p>
    <w:p>
      <w:pPr>
        <w:spacing w:after="100"/>
      </w:pPr>
      <w:hyperlink w:anchor="scenarios" w:history="1">
        <w:r>
          <w:rPr>
            <w:color w:val="2E74B5"/>
            <w:u w:val="single"/>
            <w:rFonts w:ascii="Arial" w:hAnsi="Arial" w:eastAsia="Arial"/>
          </w:rPr>
          <w:t>15. Сценарии 2026–2035</w:t>
        </w:r>
      </w:hyperlink>
    </w:p>
    <w:p>
      <w:pPr>
        <w:spacing w:after="100"/>
      </w:pPr>
      <w:hyperlink w:anchor="agenda" w:history="1">
        <w:r>
          <w:rPr>
            <w:color w:val="2E74B5"/>
            <w:u w:val="single"/>
            <w:rFonts w:ascii="Arial" w:hAnsi="Arial" w:eastAsia="Arial"/>
          </w:rPr>
          <w:t>16. Стратегическая повестка</w:t>
        </w:r>
      </w:hyperlink>
    </w:p>
    <w:p>
      <w:pPr>
        <w:spacing w:after="100"/>
      </w:pPr>
      <w:hyperlink w:anchor="conclusion" w:history="1">
        <w:r>
          <w:rPr>
            <w:color w:val="2E74B5"/>
            <w:u w:val="single"/>
            <w:rFonts w:ascii="Arial" w:hAnsi="Arial" w:eastAsia="Arial"/>
          </w:rPr>
          <w:t>Заключение</w:t>
        </w:r>
      </w:hyperlink>
    </w:p>
    <w:p>
      <w:pPr>
        <w:spacing w:after="100"/>
      </w:pPr>
      <w:hyperlink w:anchor="appendix_a" w:history="1">
        <w:r>
          <w:rPr>
            <w:color w:val="2E74B5"/>
            <w:u w:val="single"/>
            <w:rFonts w:ascii="Arial" w:hAnsi="Arial" w:eastAsia="Arial"/>
          </w:rPr>
          <w:t>Приложение А. Паспорта показателей</w:t>
        </w:r>
      </w:hyperlink>
    </w:p>
    <w:p>
      <w:pPr>
        <w:spacing w:after="100"/>
      </w:pPr>
      <w:hyperlink w:anchor="appendix_b" w:history="1">
        <w:r>
          <w:rPr>
            <w:color w:val="2E74B5"/>
            <w:u w:val="single"/>
            <w:rFonts w:ascii="Arial" w:hAnsi="Arial" w:eastAsia="Arial"/>
          </w:rPr>
          <w:t>Приложение Б. Методические оговорки</w:t>
        </w:r>
      </w:hyperlink>
    </w:p>
    <w:p>
      <w:pPr>
        <w:spacing w:after="100"/>
      </w:pPr>
      <w:hyperlink w:anchor="sources" w:history="1">
        <w:r>
          <w:rPr>
            <w:color w:val="2E74B5"/>
            <w:u w:val="single"/>
            <w:rFonts w:ascii="Arial" w:hAnsi="Arial" w:eastAsia="Arial"/>
          </w:rPr>
          <w:t>Источники</w:t>
        </w:r>
      </w:hyperlink>
    </w:p>
    <w:p>
      <w:pPr>
        <w:pStyle w:val="Callout"/>
        <w:shd w:fill="E8EEF5"/>
        <w:pBdr>
          <w:left w:val="single" w:sz="22" w:space="6" w:color="2E74B5"/>
        </w:pBdr>
      </w:pPr>
      <w:r>
        <w:rPr>
          <w:rFonts w:ascii="Arial" w:hAnsi="Arial" w:eastAsia="Arial"/>
          <w:b/>
          <w:color w:val="2E74B5"/>
        </w:rPr>
        <w:t xml:space="preserve">Навигация  </w:t>
      </w:r>
      <w:r>
        <w:rPr>
          <w:rFonts w:ascii="Arial" w:hAnsi="Arial" w:eastAsia="Arial"/>
          <w:b w:val="0"/>
          <w:color w:val="17365D"/>
        </w:rPr>
        <w:t>Все разделы образуют одну причинную цепочку: демография определяет предложение труда; производительность и капитал — выпуск; бюджет и внешняя позиция — пространство маневра; технологии, инфраструктура и экология — длительность этого маневра.</w:t>
      </w:r>
    </w:p>
    <w:p>
      <w:bookmarkStart w:id="4" w:name="method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1. Метод национальных балансов</w:t>
      </w:r>
      <w:bookmarkEnd w:id="4"/>
    </w:p>
    <w:p>
      <w:pPr>
        <w:pStyle w:val="Lead"/>
      </w:pPr>
      <w:r>
        <w:rPr>
          <w:rFonts w:ascii="Arial" w:hAnsi="Arial" w:eastAsia="Arial"/>
        </w:rPr>
        <w:t>Баланс — это не только бухгалтерское равенство. Для стратегического анализа он показывает, способен ли контур поддерживать свой запас без постоянного наращивания скрытых обязательств. ВВП может расти при сокращении населения; бюджет может быть профицитным при ускоренном износе сетей; экспорт — высоким при утрате технологической глубины. Поэтому оценка строится одновременно по запасу, потоку и воспроизводству.</w:t>
      </w:r>
    </w:p>
    <w:p>
      <w:pPr>
        <w:pStyle w:val="Callout"/>
        <w:shd w:fill="F7F1D9"/>
        <w:pBdr>
          <w:left w:val="single" w:sz="22" w:space="6" w:color="C9A227"/>
        </w:pBdr>
      </w:pPr>
      <w:r>
        <w:rPr>
          <w:rFonts w:ascii="Arial" w:hAnsi="Arial" w:eastAsia="Arial"/>
          <w:b/>
          <w:color w:val="C9A227"/>
        </w:rPr>
        <w:t xml:space="preserve">Базовое равенство  </w:t>
      </w:r>
      <w:r>
        <w:rPr>
          <w:rFonts w:ascii="Arial" w:hAnsi="Arial" w:eastAsia="Arial"/>
          <w:b w:val="0"/>
          <w:color w:val="17365D"/>
        </w:rPr>
        <w:t>Баланс = Запасы + Притоки + Воспроизводство − Потребление − Оттоки − Потери − Обязательства.</w:t>
      </w:r>
    </w:p>
    <w:p>
      <w:pPr>
        <w:pStyle w:val="Caption"/>
      </w:pPr>
      <w:r>
        <w:rPr>
          <w:rFonts w:ascii="Arial" w:hAnsi="Arial" w:eastAsia="Arial"/>
        </w:rPr>
        <w:t>Таблица 3. Шесть измерений каждого баланса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200"/>
        <w:gridCol w:w="2000"/>
        <w:gridCol w:w="2900"/>
        <w:gridCol w:w="3260"/>
      </w:tblGrid>
      <w:tr>
        <w:trPr>
          <w:tblHeader w:val="true"/>
          <w:cantSplit/>
        </w:trPr>
        <w:tc>
          <w:tcPr>
            <w:tcW w:type="dxa" w:w="12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Измерение</w:t>
            </w:r>
          </w:p>
        </w:tc>
        <w:tc>
          <w:tcPr>
            <w:tcW w:type="dxa" w:w="20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Вопрос</w:t>
            </w:r>
          </w:p>
        </w:tc>
        <w:tc>
          <w:tcPr>
            <w:tcW w:type="dxa" w:w="2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Пример показателя</w:t>
            </w:r>
          </w:p>
        </w:tc>
        <w:tc>
          <w:tcPr>
            <w:tcW w:type="dxa" w:w="32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Сигнал риска</w:t>
            </w:r>
          </w:p>
        </w:tc>
      </w:tr>
      <w:tr>
        <w:trPr>
          <w:cantSplit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Запас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Что уже накоплено?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Население, капитал, резервы, почвы, инфраструктура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Снижение объема или качества</w:t>
            </w:r>
          </w:p>
        </w:tc>
      </w:tr>
      <w:tr>
        <w:trPr>
          <w:cantSplit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Поток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Что входит и выходит ежегодно?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Рождения и смерти, инвестиции и выбытие, экспорт и импорт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Устойчивый отрицательный нетто-поток</w:t>
            </w:r>
          </w:p>
        </w:tc>
      </w:tr>
      <w:tr>
        <w:trPr>
          <w:cantSplit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Воспроизводство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Обновляется ли запас?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СКР, подготовка кадров, ввод мощностей, НИОКР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Обновление ниже выбытия</w:t>
            </w:r>
          </w:p>
        </w:tc>
      </w:tr>
      <w:tr>
        <w:trPr>
          <w:cantSplit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Емкость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Каков безопасный предел нагрузки?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Доступность труда, сеть, бюджетное правило, водный стресс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Приближение к физическому ограничению</w:t>
            </w:r>
          </w:p>
        </w:tc>
      </w:tr>
      <w:tr>
        <w:trPr>
          <w:cantSplit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Качество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Насколько запас производителен?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ОПЖ, производительность, глубина переработки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Рост количества при падении отдачи</w:t>
            </w:r>
          </w:p>
        </w:tc>
      </w:tr>
      <w:tr>
        <w:trPr>
          <w:cantSplit/>
        </w:trPr>
        <w:tc>
          <w:tcPr>
            <w:tcW w:type="dxa" w:w="1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Резерв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Сколько времени выдерживает шок?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Ликвидность, ФНБ, мощности, запасы зерна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Покрытие ниже горизонта реакции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Правила интерпретации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Положительный поток считается устойчивым только при сохранении качества запаса.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Разовый шок отделяется от структурного тренда: кризис 2009 года — внешний удар, демографическое снижение после 2016 года — структурный процесс.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Запас и обязательство считаются вместе: ввод жилья без коммунальной мощности увеличивает будущую нагрузку; добыча без рекультивации — экологический долг.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Средняя по стране не заменяет территориальное распределение: профицит вакансий в одной агломерации не компенсирует отток в другой территории.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Целевые коридоры задаются как управленческие ориентиры, а не точечный прогноз.</w:t>
      </w:r>
    </w:p>
    <w:p>
      <w:bookmarkStart w:id="5" w:name="periods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2. Тридцать лет: шесть режимов</w:t>
      </w:r>
      <w:bookmarkEnd w:id="5"/>
    </w:p>
    <w:p>
      <w:pPr>
        <w:pStyle w:val="Lead"/>
      </w:pPr>
      <w:r>
        <w:rPr>
          <w:rFonts w:ascii="Arial" w:hAnsi="Arial" w:eastAsia="Arial"/>
        </w:rPr>
        <w:t>Главная ошибка длинного анализа — рассматривать 1995–2025 годы как единый статистический ряд. За это время изменились институты, валютный режим, структура собственности, демографическая база, торговая география и масштаб государственного участия. Полезнее видеть шесть режимов, каждый из которых решил одну группу дефицитов и сформировал следующую.</w:t>
      </w:r>
    </w:p>
    <w:p>
      <w:pPr>
        <w:pStyle w:val="Caption"/>
      </w:pPr>
      <w:r>
        <w:rPr>
          <w:rFonts w:ascii="Arial" w:hAnsi="Arial" w:eastAsia="Arial"/>
        </w:rPr>
        <w:t>Таблица 4. Периодизация по типу дисбаланса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250"/>
        <w:gridCol w:w="2300"/>
        <w:gridCol w:w="2750"/>
        <w:gridCol w:w="3060"/>
      </w:tblGrid>
      <w:tr>
        <w:trPr>
          <w:tblHeader w:val="true"/>
          <w:cantSplit/>
        </w:trPr>
        <w:tc>
          <w:tcPr>
            <w:tcW w:type="dxa" w:w="12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Период</w:t>
            </w:r>
          </w:p>
        </w:tc>
        <w:tc>
          <w:tcPr>
            <w:tcW w:type="dxa" w:w="23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Доминирующий режим</w:t>
            </w:r>
          </w:p>
        </w:tc>
        <w:tc>
          <w:tcPr>
            <w:tcW w:type="dxa" w:w="27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Что восстановлено</w:t>
            </w:r>
          </w:p>
        </w:tc>
        <w:tc>
          <w:tcPr>
            <w:tcW w:type="dxa" w:w="30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Что накоплено как риск</w:t>
            </w:r>
          </w:p>
        </w:tc>
      </w:tr>
      <w:tr>
        <w:trPr>
          <w:cantSplit/>
        </w:trPr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1995–1999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Кризис ликвидности и институтов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Рыночные цены, частный сектор, адаптивность домохозяйств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Бедность, неплатежи, долг, демографический шок, износ</w:t>
            </w:r>
          </w:p>
        </w:tc>
      </w:tr>
      <w:tr>
        <w:trPr>
          <w:cantSplit/>
        </w:trPr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2000–2008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Восстановительный рост и ресурсный суперцикл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Доходы, бюджет, резервы, загрузка мощностей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Сырьевая концентрация, отставание инвестиций в качество</w:t>
            </w:r>
          </w:p>
        </w:tc>
      </w:tr>
      <w:tr>
        <w:trPr>
          <w:cantSplit/>
        </w:trPr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2009–2013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Антикризисная стабилизация и плато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Банковская устойчивость, социальные расходы, низкая безработица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Замедление производительности, начало демографического разворота</w:t>
            </w:r>
          </w:p>
        </w:tc>
      </w:tr>
      <w:tr>
        <w:trPr>
          <w:cantSplit/>
        </w:trPr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2014–2019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Суверенизация и адаптация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Плавающий курс, импортозамещение в АПК и финансах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Инвестиционная пауза, технологии, реальные доходы</w:t>
            </w:r>
          </w:p>
        </w:tc>
      </w:tr>
      <w:tr>
        <w:trPr>
          <w:cantSplit/>
        </w:trPr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2020–2021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Пандемический шок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Цифровые сервисы, оперативная бюджетная поддержка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Смертность, образовательные потери, логистические разрывы</w:t>
            </w:r>
          </w:p>
        </w:tc>
      </w:tr>
      <w:tr>
        <w:trPr>
          <w:cantSplit/>
        </w:trPr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2022–2025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Форсированный структурный поворот</w:t>
            </w:r>
          </w:p>
        </w:tc>
        <w:tc>
          <w:tcPr>
            <w:tcW w:type="dxa" w:w="2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Новые рынки и расчеты, оборонно-промышленная загрузка, занятость</w:t>
            </w:r>
          </w:p>
        </w:tc>
        <w:tc>
          <w:tcPr>
            <w:tcW w:type="dxa" w:w="30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Инфляция, дорогой капитал, кадровый дефицит, узкие места инфраструктуры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Смысл перехода</w:t>
      </w:r>
    </w:p>
    <w:p>
      <w:r>
        <w:rPr>
          <w:rFonts w:ascii="Arial" w:hAnsi="Arial" w:eastAsia="Arial"/>
        </w:rPr>
        <w:t>В 1990-е задача состояла в прекращении распада платежного контура. В 2000-е главным ресурсом роста стала дозагрузка уже созданных мощностей на фоне благоприятных экспортных цен. К 2012–2013 годам этот резерв исчерпался: дальнейший рост требовал нового капитала, технологий и производительности, а не только спроса.</w:t>
      </w:r>
    </w:p>
    <w:p>
      <w:r>
        <w:rPr>
          <w:rFonts w:ascii="Arial" w:hAnsi="Arial" w:eastAsia="Arial"/>
        </w:rPr>
        <w:t>После 2014 года устойчивость курса, банков и бюджета стала важнее скорости роста. Это снизило вероятность классического системного кризиса, но закрепило разрыв между финансовой осторожностью и реальным обновлением. Период 2022–2024 годов временно поднял выпуск за счет сильного государственного спроса и полной загрузки факторов; 2025 год показал ограничение этой модели — рост 1,0% при все еще жестких денежно-кредитных условиях.</w:t>
      </w:r>
    </w:p>
    <w:p>
      <w:bookmarkStart w:id="6" w:name="macro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3. Производство, инвестиции и производительность</w:t>
      </w:r>
      <w:bookmarkEnd w:id="6"/>
    </w:p>
    <w:p>
      <w:pPr>
        <w:pStyle w:val="Lead"/>
      </w:pPr>
      <w:r>
        <w:rPr>
          <w:rFonts w:ascii="Arial" w:hAnsi="Arial" w:eastAsia="Arial"/>
        </w:rPr>
        <w:t>Валовой выпуск вырос, но структура источников роста изменилась. В начале 2000-х одновременно работали свободные мощности, дешевый труд, укрепление платежной дисциплины и экспортный спрос. В 2020-х дополнительный выпуск все чаще требует дефицитных работников, дорогого кредита, параллельной инфраструктуры и технологической замены.</w:t>
      </w:r>
    </w:p>
    <w:p>
      <w:pPr>
        <w:pStyle w:val="Caption"/>
      </w:pPr>
      <w:r>
        <w:rPr>
          <w:rFonts w:ascii="Arial" w:hAnsi="Arial" w:eastAsia="Arial"/>
        </w:rPr>
        <w:t>Рисунок 1. Годовые темпы реального ВВП, 1995–2025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2721616"/>
            <wp:docPr id="1" name="Picture 1" title="Рисунок 1. Годовые темпы реального ВВП, 1995–2025" descr="Столбчатая диаграмма годовых темпов реального ВВП России: глубокие спады 1998, 2009 и 2020 годов, высокие темпы 1999–2008 годов, рост 1% в 2025 году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gdp_growth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72161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ource"/>
      </w:pPr>
      <w:r>
        <w:rPr>
          <w:rFonts w:ascii="Arial" w:hAnsi="Arial" w:eastAsia="Arial"/>
        </w:rPr>
        <w:t>Источник: Росстат, цепные индексы физического объема ВВП; 2024–2025 — актуальные пересмотры на дату среза.</w:t>
      </w:r>
    </w:p>
    <w:p>
      <w:pPr>
        <w:pStyle w:val="Caption"/>
      </w:pPr>
      <w:r>
        <w:rPr>
          <w:rFonts w:ascii="Arial" w:hAnsi="Arial" w:eastAsia="Arial"/>
        </w:rPr>
        <w:t>Таблица 5. Смена режима роста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1900"/>
        <w:gridCol w:w="1800"/>
        <w:gridCol w:w="4160"/>
      </w:tblGrid>
      <w:tr>
        <w:trPr>
          <w:tblHeader w:val="true"/>
          <w:cantSplit/>
        </w:trPr>
        <w:tc>
          <w:tcPr>
            <w:tcW w:type="dxa" w:w="1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Интервал</w:t>
            </w:r>
          </w:p>
        </w:tc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Изменение реального ВВП</w:t>
            </w:r>
          </w:p>
        </w:tc>
        <w:tc>
          <w:tcPr>
            <w:tcW w:type="dxa" w:w="18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Среднегодовой темп</w:t>
            </w:r>
          </w:p>
        </w:tc>
        <w:tc>
          <w:tcPr>
            <w:tcW w:type="dxa" w:w="4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Механизм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1999–2008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около +95%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около 6,9%</w:t>
            </w:r>
          </w:p>
        </w:tc>
        <w:tc>
          <w:tcPr>
            <w:tcW w:type="dxa" w:w="4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Восстановление загрузки, сырьевой цикл, рост доходов и кредита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2009–2013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около +17%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около 3,2%</w:t>
            </w:r>
          </w:p>
        </w:tc>
        <w:tc>
          <w:tcPr>
            <w:tcW w:type="dxa" w:w="4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Посткризисное восстановление, затем замедление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2014–2019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около +6%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около 0,9%</w:t>
            </w:r>
          </w:p>
        </w:tc>
        <w:tc>
          <w:tcPr>
            <w:tcW w:type="dxa" w:w="4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Адаптация при слабых инвестициях и производительности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2020–2025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около +13%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около 2,0%</w:t>
            </w:r>
          </w:p>
        </w:tc>
        <w:tc>
          <w:tcPr>
            <w:tcW w:type="dxa" w:w="4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Пандемический провал, восстановление и бюджетно-промышленный импульс</w:t>
            </w:r>
          </w:p>
        </w:tc>
      </w:tr>
    </w:tbl>
    <w:p>
      <w:pPr>
        <w:pStyle w:val="Source"/>
      </w:pPr>
      <w:r>
        <w:rPr>
          <w:rFonts w:ascii="Arial" w:hAnsi="Arial" w:eastAsia="Arial"/>
        </w:rPr>
      </w:r>
      <w:r>
        <w:rPr>
          <w:rFonts w:ascii="Arial" w:hAnsi="Arial" w:eastAsia="Arial"/>
          <w:i/>
          <w:color w:val="5B6573"/>
          <w:sz w:val="17"/>
        </w:rPr>
        <w:t xml:space="preserve">Источник: </w:t>
      </w:r>
      <w:hyperlink r:id="rId10">
        <w:r>
          <w:rPr>
            <w:color w:val="5B6573"/>
            <w:u w:val="single"/>
            <w:rFonts w:ascii="Arial" w:hAnsi="Arial" w:eastAsia="Arial"/>
          </w:rPr>
          <w:t>Росстат: национальные счета</w:t>
        </w:r>
      </w:hyperlink>
    </w:p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Инвестиционный разрыв</w:t>
      </w:r>
    </w:p>
    <w:p>
      <w:r>
        <w:rPr>
          <w:rFonts w:ascii="Arial" w:hAnsi="Arial" w:eastAsia="Arial"/>
        </w:rPr>
        <w:t>Номинальный ВВП вырос с 7,3 трлн рублей в 2000 году до 202,3 трлн рублей в 2024 году, однако это сочетание реального роста, инфляции и изменения ценовых пропорций. Для баланса капитала важнее отношение инвестиций к выбытию и качество новых активов. Средний износ основных фондов 42,3% в 2024 году показывает: значительная часть валовых вложений обслуживает замену, а не чистое расширение.</w:t>
      </w:r>
    </w:p>
    <w:p>
      <w:r>
        <w:rPr>
          <w:rFonts w:ascii="Arial" w:hAnsi="Arial" w:eastAsia="Arial"/>
        </w:rPr>
        <w:t>Низкая безработица больше не дает возможности расти преимущественно через увеличение занятости. Устойчивый темп выше 2% требует роста выпуска на час, сокращения простоев, роботизации, лучшего управления и перемещения капитала из низкопроизводительных в высокопроизводительные применения.</w:t>
      </w:r>
    </w:p>
    <w:p>
      <w:r>
        <w:rPr>
          <w:rFonts w:ascii="Arial" w:hAnsi="Arial" w:eastAsia="Arial"/>
        </w:rPr>
        <w:t>Балансовая ловушка возникает, когда бюджет стимулирует спрос быстрее, чем расширяются мощности. Тогда дополнительный спрос проявляется в ценах, импорте или удлинении сроков, а центральный банк повышает стоимость капитала. Именно эта связка стала видимой в 2024–2025 годах.</w:t>
      </w:r>
    </w:p>
    <w:p>
      <w:pPr>
        <w:pStyle w:val="Callout"/>
        <w:shd w:fill="F8E7E7"/>
        <w:pBdr>
          <w:left w:val="single" w:sz="22" w:space="6" w:color="A23B3B"/>
        </w:pBdr>
      </w:pPr>
      <w:r>
        <w:rPr>
          <w:rFonts w:ascii="Arial" w:hAnsi="Arial" w:eastAsia="Arial"/>
          <w:b/>
          <w:color w:val="A23B3B"/>
        </w:rPr>
        <w:t xml:space="preserve">Диагноз  </w:t>
      </w:r>
      <w:r>
        <w:rPr>
          <w:rFonts w:ascii="Arial" w:hAnsi="Arial" w:eastAsia="Arial"/>
          <w:b w:val="0"/>
          <w:color w:val="17365D"/>
        </w:rPr>
        <w:t>Проблема не в недостатке совокупного спроса как такового, а в ограниченной эластичности предложения: люди, оборудование, логистика и технологии не успевают ответить на импульс.</w:t>
      </w:r>
    </w:p>
    <w:p>
      <w:bookmarkStart w:id="7" w:name="finance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4. Бюджет, деньги и финансовые потоки</w:t>
      </w:r>
      <w:bookmarkEnd w:id="7"/>
    </w:p>
    <w:p>
      <w:pPr>
        <w:pStyle w:val="Lead"/>
      </w:pPr>
      <w:r>
        <w:rPr>
          <w:rFonts w:ascii="Arial" w:hAnsi="Arial" w:eastAsia="Arial"/>
        </w:rPr>
        <w:t>Финансовый контур России стал принципиально устойчивее 1990-х: государственный долг невелик, банки лучше капитализированы, валютный курс выполняет роль амортизатора. Но в 2025 году напряжение переместилось из платежеспособности в цену капитала и структуру секторальных потоков.</w:t>
      </w:r>
    </w:p>
    <w:p>
      <w:pPr>
        <w:pStyle w:val="Caption"/>
      </w:pPr>
      <w:r>
        <w:rPr>
          <w:rFonts w:ascii="Arial" w:hAnsi="Arial" w:eastAsia="Arial"/>
        </w:rPr>
        <w:t>Таблица 6. Финансовая панель 2025 года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600"/>
        <w:gridCol w:w="1800"/>
        <w:gridCol w:w="4960"/>
      </w:tblGrid>
      <w:tr>
        <w:trPr>
          <w:tblHeader w:val="true"/>
          <w:cantSplit/>
        </w:trPr>
        <w:tc>
          <w:tcPr>
            <w:tcW w:type="dxa" w:w="2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Показатель 2025</w:t>
            </w:r>
          </w:p>
        </w:tc>
        <w:tc>
          <w:tcPr>
            <w:tcW w:type="dxa" w:w="18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Значение</w:t>
            </w:r>
          </w:p>
        </w:tc>
        <w:tc>
          <w:tcPr>
            <w:tcW w:type="dxa" w:w="49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Балансовый смысл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Рост ВВП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1,0%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Охлаждение после высоких темпов 2023–2024 годов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Инфляция, декабрь к декабрю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5,59%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Выше цели, но ниже пикового давления 2024 года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Средняя ключевая ставка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19,2%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Высокая стоимость рефинансирования и инвестиций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Ключевая ставка на конец года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16,0%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Начало смягчения при сохранении жесткости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Дефицит федерального бюджета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5,645 трлн руб.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Спрос поддержан ценой снижения бюджетного запаса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Ликвидная часть ФНБ на 01.01.2026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4,085 трлн руб.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Резерв сохраняется, но его функция становится более избирательной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Государственный долг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около 15% ВВП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Низкий уровень по международным меркам</w:t>
            </w:r>
          </w:p>
        </w:tc>
      </w:tr>
      <w:tr>
        <w:trPr>
          <w:cantSplit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Международные резервы на конец года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754,9 млрд долл. США</w:t>
            </w:r>
          </w:p>
        </w:tc>
        <w:tc>
          <w:tcPr>
            <w:tcW w:type="dxa" w:w="4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Валовой запас высок, но часть активов ограничена; рост 2025 года во многом связан с переоценкой золота</w:t>
            </w:r>
          </w:p>
        </w:tc>
      </w:tr>
    </w:tbl>
    <w:p>
      <w:pPr>
        <w:pStyle w:val="Source"/>
      </w:pPr>
      <w:r>
        <w:rPr>
          <w:rFonts w:ascii="Arial" w:hAnsi="Arial" w:eastAsia="Arial"/>
        </w:rPr>
      </w:r>
      <w:r>
        <w:rPr>
          <w:rFonts w:ascii="Arial" w:hAnsi="Arial" w:eastAsia="Arial"/>
          <w:i/>
          <w:color w:val="5B6573"/>
          <w:sz w:val="17"/>
        </w:rPr>
        <w:t xml:space="preserve">Источник: </w:t>
      </w:r>
      <w:r>
        <w:rPr>
          <w:rFonts w:ascii="Arial" w:hAnsi="Arial" w:eastAsia="Arial"/>
          <w:i/>
          <w:color w:val="5B6573"/>
          <w:sz w:val="17"/>
        </w:rPr>
        <w:t>Банк России; Минфин России. Значения округлены.</w:t>
      </w:r>
    </w:p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Секторальные балансы</w:t>
      </w:r>
    </w:p>
    <w:p>
      <w:pPr>
        <w:pStyle w:val="Caption"/>
      </w:pPr>
      <w:r>
        <w:rPr>
          <w:rFonts w:ascii="Arial" w:hAnsi="Arial" w:eastAsia="Arial"/>
        </w:rPr>
        <w:t>Таблица 7. Финансовые счета по секторам, 2025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2600"/>
        <w:gridCol w:w="1300"/>
        <w:gridCol w:w="3260"/>
      </w:tblGrid>
      <w:tr>
        <w:trPr>
          <w:tblHeader w:val="true"/>
          <w:cantSplit/>
        </w:trPr>
        <w:tc>
          <w:tcPr>
            <w:tcW w:type="dxa" w:w="22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Сектор</w:t>
            </w:r>
          </w:p>
        </w:tc>
        <w:tc>
          <w:tcPr>
            <w:tcW w:type="dxa" w:w="2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Чистое кредитование (+) / заимствование (−)</w:t>
            </w:r>
          </w:p>
        </w:tc>
        <w:tc>
          <w:tcPr>
            <w:tcW w:type="dxa" w:w="13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% ВВП</w:t>
            </w:r>
          </w:p>
        </w:tc>
        <w:tc>
          <w:tcPr>
            <w:tcW w:type="dxa" w:w="32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Интерпретация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Экономика в целом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+3,3 трлн руб.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+1,5%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Страна остается чистым кредитором внешнему миру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Домашние хозяйства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+13,2 трлн руб.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+6,2%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Сбережения и финансовый резерв высоки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Финансовые организации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+2,5 трлн руб.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+1,2%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Финансовый сектор аккумулирует ресурс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Нефинансовые корпорации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−7,4 трлн руб.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−3,4%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Инвестиции и оборотный капитал требуют финансирования</w:t>
            </w:r>
          </w:p>
        </w:tc>
      </w:tr>
      <w:tr>
        <w:trPr>
          <w:cantSplit/>
        </w:trPr>
        <w:tc>
          <w:tcPr>
            <w:tcW w:type="dxa" w:w="22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Государственное управление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−5,0 трлн руб.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−2,3%</w:t>
            </w:r>
          </w:p>
        </w:tc>
        <w:tc>
          <w:tcPr>
            <w:tcW w:type="dxa" w:w="3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Бюджетный импульс компенсирует часть разрыва частного спроса</w:t>
            </w:r>
          </w:p>
        </w:tc>
      </w:tr>
    </w:tbl>
    <w:p>
      <w:pPr>
        <w:pStyle w:val="Source"/>
      </w:pPr>
      <w:r>
        <w:rPr>
          <w:rFonts w:ascii="Arial" w:hAnsi="Arial" w:eastAsia="Arial"/>
        </w:rPr>
      </w:r>
      <w:r>
        <w:rPr>
          <w:rFonts w:ascii="Arial" w:hAnsi="Arial" w:eastAsia="Arial"/>
          <w:i/>
          <w:color w:val="5B6573"/>
          <w:sz w:val="17"/>
        </w:rPr>
        <w:t xml:space="preserve">Источник: </w:t>
      </w:r>
      <w:hyperlink r:id="rId11">
        <w:r>
          <w:rPr>
            <w:color w:val="5B6573"/>
            <w:u w:val="single"/>
            <w:rFonts w:ascii="Arial" w:hAnsi="Arial" w:eastAsia="Arial"/>
          </w:rPr>
          <w:t>Банк России: финансовые счета и балансы финансовых активов</w:t>
        </w:r>
      </w:hyperlink>
    </w:p>
    <w:p>
      <w:r>
        <w:rPr>
          <w:rFonts w:ascii="Arial" w:hAnsi="Arial" w:eastAsia="Arial"/>
        </w:rPr>
        <w:t>Сбережения домохозяйств — защитный запас, но их концентрация на депозитах не гарантирует превращения в длинный капитал. Для этого нужны инструменты с понятным риском, инфляционной защитой и привязкой к проектам обновления.</w:t>
      </w:r>
    </w:p>
    <w:p>
      <w:r>
        <w:rPr>
          <w:rFonts w:ascii="Arial" w:hAnsi="Arial" w:eastAsia="Arial"/>
        </w:rPr>
        <w:t>Низкий государственный долг дает пространство для маневра, но не отменяет ограничений предложения. Заимствование оправдано, если финансирует актив с отдачей выше стоимости обслуживания и не закрепляет постоянные расходы без постоянного источника дохода.</w:t>
      </w:r>
    </w:p>
    <w:p>
      <w:r>
        <w:rPr>
          <w:rFonts w:ascii="Arial" w:hAnsi="Arial" w:eastAsia="Arial"/>
        </w:rPr>
        <w:t>Денежно-кредитный баланс будет оставаться жестким, пока бюджетный спрос, зарплаты и кредит растут быстрее производственной емкости. Поэтому антиинфляционная политика должна включать не только ставку, но и ускоренное снятие физических узких мест.</w:t>
      </w:r>
    </w:p>
    <w:p>
      <w:bookmarkStart w:id="8" w:name="external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5. Внешний баланс</w:t>
      </w:r>
      <w:bookmarkEnd w:id="8"/>
    </w:p>
    <w:p>
      <w:pPr>
        <w:pStyle w:val="Lead"/>
      </w:pPr>
      <w:r>
        <w:rPr>
          <w:rFonts w:ascii="Arial" w:hAnsi="Arial" w:eastAsia="Arial"/>
        </w:rPr>
        <w:t>Внешний контур остается одним из самых сильных: экспорт товаров превышает импорт, текущий счет положителен, внешний долг контролируем. Однако качество баланса изменилось — часть резервных активов ограничена, расчеты и логистика дороже, география торговли уже, а профицит 2025 года меньше предыдущего.</w:t>
      </w:r>
    </w:p>
    <w:p>
      <w:pPr>
        <w:pStyle w:val="Caption"/>
      </w:pPr>
      <w:r>
        <w:rPr>
          <w:rFonts w:ascii="Arial" w:hAnsi="Arial" w:eastAsia="Arial"/>
        </w:rPr>
        <w:t>Рисунок 2. Торговый баланс и счет текущих операций, 2023–2025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2682389"/>
            <wp:docPr id="2" name="Picture 2" title="Рисунок 2. Торговый баланс и счет текущих операций, 2023–2025" descr="Сгруппированные столбцы показывают положительный товарный баланс 121,7, 132,1 и 113,2 млрд долларов и текущий счет 49,4, 63,3 и 38,8 млрд долларов в 2023–2025 годах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external_balanc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6823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ource"/>
      </w:pPr>
      <w:r>
        <w:rPr>
          <w:rFonts w:ascii="Arial" w:hAnsi="Arial" w:eastAsia="Arial"/>
        </w:rPr>
        <w:t>Источник: Банк России, оценка платежного баланса; млрд долл. США.</w:t>
      </w:r>
    </w:p>
    <w:p>
      <w:pPr>
        <w:pStyle w:val="Caption"/>
      </w:pPr>
      <w:r>
        <w:rPr>
          <w:rFonts w:ascii="Arial" w:hAnsi="Arial" w:eastAsia="Arial"/>
        </w:rPr>
        <w:t>Таблица 8. Трансформация внешнего контура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1900"/>
        <w:gridCol w:w="1900"/>
        <w:gridCol w:w="2000"/>
        <w:gridCol w:w="2010"/>
      </w:tblGrid>
      <w:tr>
        <w:trPr>
          <w:tblHeader w:val="true"/>
          <w:cantSplit/>
        </w:trPr>
        <w:tc>
          <w:tcPr>
            <w:tcW w:type="dxa" w:w="15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Компонент</w:t>
            </w:r>
          </w:p>
        </w:tc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1990-е</w:t>
            </w:r>
          </w:p>
        </w:tc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2000-е</w:t>
            </w:r>
          </w:p>
        </w:tc>
        <w:tc>
          <w:tcPr>
            <w:tcW w:type="dxa" w:w="20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2014–2021</w:t>
            </w:r>
          </w:p>
        </w:tc>
        <w:tc>
          <w:tcPr>
            <w:tcW w:type="dxa" w:w="20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2022–2025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Валютный режим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Уязвимый коридор и кризис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Управляемое укрепление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Плавающий курс и бюджетное правило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Контроль потоков и новые расчетные контуры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Резервы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Недостаточны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Быстрое накопление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Высокий запас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Высокий валовой запас, но ограниченная доступность части активов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Торговля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Сырьевой профицит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Рост цены и объема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Поворот к Азии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Форсированная переориентация и рост логистических издержек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Капитал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Крупный отток и долг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Накопление внешних активов</w:t>
            </w:r>
          </w:p>
        </w:tc>
        <w:tc>
          <w:tcPr>
            <w:tcW w:type="dxa" w:w="2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Делевериджинг</w:t>
            </w:r>
          </w:p>
        </w:tc>
        <w:tc>
          <w:tcPr>
            <w:tcW w:type="dxa" w:w="20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Фрагментация рынков капитала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Что скрывает профицит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Положительный текущий счет может отражать не только конкурентоспособность, но и ограниченный импорт оборудования и услуг.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Рост внешних активов не равен доступному резерву, если изменяются права распоряжения и расчетная инфраструктура.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Экспортная выручка создает устойчивость лишь тогда, когда финансирует внутреннее накопление производительного капитала.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Концентрация на нескольких товарах и рынках повышает чувствительность к цене, дисконту, фрахту и санкционному риску.</w:t>
      </w:r>
    </w:p>
    <w:p>
      <w:pPr>
        <w:pStyle w:val="Callout"/>
        <w:shd w:fill="E7F2EB"/>
        <w:pBdr>
          <w:left w:val="single" w:sz="22" w:space="6" w:color="3B7D5B"/>
        </w:pBdr>
      </w:pPr>
      <w:r>
        <w:rPr>
          <w:rFonts w:ascii="Arial" w:hAnsi="Arial" w:eastAsia="Arial"/>
          <w:b/>
          <w:color w:val="3B7D5B"/>
        </w:rPr>
        <w:t xml:space="preserve">Операционный ориентир  </w:t>
      </w:r>
      <w:r>
        <w:rPr>
          <w:rFonts w:ascii="Arial" w:hAnsi="Arial" w:eastAsia="Arial"/>
          <w:b w:val="0"/>
          <w:color w:val="17365D"/>
        </w:rPr>
        <w:t>Не максимизировать валовой экспорт, а повышать чистую ценность на единицу ресурса: переработку, сервис, интеллектуальную составляющую, надежность расчетов и диверсификацию маршрутов.</w:t>
      </w:r>
    </w:p>
    <w:p>
      <w:bookmarkStart w:id="9" w:name="demography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6. Демографический баланс</w:t>
      </w:r>
      <w:bookmarkEnd w:id="9"/>
    </w:p>
    <w:p>
      <w:pPr>
        <w:pStyle w:val="Lead"/>
      </w:pPr>
      <w:r>
        <w:rPr>
          <w:rFonts w:ascii="Arial" w:hAnsi="Arial" w:eastAsia="Arial"/>
        </w:rPr>
        <w:t>Демография — контур с самым длинным лагом и наименьшей возможностью быстрой компенсации. Ребенок, не родившийся сегодня, не войдет в рынок труда через двадцать лет; утраченная продолжительность здоровой жизни снижает предложение труда уже сейчас. Поэтому демографический дефицит нельзя закрыть только краткосрочной миграцией.</w:t>
      </w:r>
    </w:p>
    <w:p>
      <w:pPr>
        <w:pStyle w:val="Caption"/>
      </w:pPr>
      <w:r>
        <w:rPr>
          <w:rFonts w:ascii="Arial" w:hAnsi="Arial" w:eastAsia="Arial"/>
        </w:rPr>
        <w:t>Рисунок 3. Родившиеся и умершие, выбранные годы 1995–2024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2833487"/>
            <wp:docPr id="3" name="Picture 3" title="Рисунок 3. Родившиеся и умершие, выбранные годы 1995–2024" descr="Две линии показывают рождения и смерти. Рождения почти сравнялись со смертями в 2013–2015 годах, затем снизились до 1,22 млн в 2024 году при 1,82 млн смертей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births_deaths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3348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ource"/>
      </w:pPr>
      <w:r>
        <w:rPr>
          <w:rFonts w:ascii="Arial" w:hAnsi="Arial" w:eastAsia="Arial"/>
        </w:rPr>
        <w:t>Источник: Росстат, естественное движение населения. Значения округлены; территориальные изменения требуют осторожности.</w:t>
      </w:r>
    </w:p>
    <w:p>
      <w:pPr>
        <w:pStyle w:val="Caption"/>
      </w:pPr>
      <w:r>
        <w:rPr>
          <w:rFonts w:ascii="Arial" w:hAnsi="Arial" w:eastAsia="Arial"/>
        </w:rPr>
        <w:t>Таблица 9. Опорные демографические показатели</w:t>
      </w:r>
    </w:p>
    <w:tbl>
      <w:tblPr>
        <w:tblStyle w:val="TableGrid"/>
        <w:tblW w:type="dxa" w:w="941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100"/>
        <w:gridCol w:w="1050"/>
        <w:gridCol w:w="1050"/>
        <w:gridCol w:w="1050"/>
        <w:gridCol w:w="1050"/>
        <w:gridCol w:w="1600"/>
        <w:gridCol w:w="1510"/>
      </w:tblGrid>
      <w:tr>
        <w:trPr>
          <w:tblHeader w:val="true"/>
          <w:cantSplit/>
        </w:trPr>
        <w:tc>
          <w:tcPr>
            <w:tcW w:type="dxa" w:w="21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10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1995</w:t>
            </w:r>
          </w:p>
        </w:tc>
        <w:tc>
          <w:tcPr>
            <w:tcW w:type="dxa" w:w="10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2000</w:t>
            </w:r>
          </w:p>
        </w:tc>
        <w:tc>
          <w:tcPr>
            <w:tcW w:type="dxa" w:w="10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2013</w:t>
            </w:r>
          </w:p>
        </w:tc>
        <w:tc>
          <w:tcPr>
            <w:tcW w:type="dxa" w:w="10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2019</w:t>
            </w:r>
          </w:p>
        </w:tc>
        <w:tc>
          <w:tcPr>
            <w:tcW w:type="dxa" w:w="1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2024/2025</w:t>
            </w:r>
          </w:p>
        </w:tc>
        <w:tc>
          <w:tcPr>
            <w:tcW w:type="dxa" w:w="15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Тренд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Население, млн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148,3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146,3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143,3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146,8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146,028 на 01.01.2025</w:t>
            </w:r>
          </w:p>
        </w:tc>
        <w:tc>
          <w:tcPr>
            <w:tcW w:type="dxa" w:w="1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Снижение; ряд нарушен изменением территории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Родившиеся, млн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1,36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1,27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1,90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1,48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1,22 (2024)</w:t>
            </w:r>
          </w:p>
        </w:tc>
        <w:tc>
          <w:tcPr>
            <w:tcW w:type="dxa" w:w="1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После 2015 года устойчивое снижение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Умершие, млн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2,20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2,23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1,87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1,80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1,82 (2024)</w:t>
            </w:r>
          </w:p>
        </w:tc>
        <w:tc>
          <w:tcPr>
            <w:tcW w:type="dxa" w:w="1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Пандемический пик пройден, но разрыв сохраняется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Суммарный коэффициент рождаемости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около 1,34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около 1,20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1,71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1,50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около 1,4</w:t>
            </w:r>
          </w:p>
        </w:tc>
        <w:tc>
          <w:tcPr>
            <w:tcW w:type="dxa" w:w="1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Ниже простого воспроизводства</w:t>
            </w:r>
          </w:p>
        </w:tc>
      </w:tr>
      <w:tr>
        <w:trPr>
          <w:cantSplit/>
        </w:trPr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Ожидаемая продолжительность жизни, лет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64,52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65,34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70,8</w:t>
            </w:r>
          </w:p>
        </w:tc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73,3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72,84 (2024)</w:t>
            </w:r>
          </w:p>
        </w:tc>
        <w:tc>
          <w:tcPr>
            <w:tcW w:type="dxa" w:w="15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Долгосрочный рост с шоками</w:t>
            </w:r>
          </w:p>
        </w:tc>
      </w:tr>
    </w:tbl>
    <w:p>
      <w:pPr>
        <w:pStyle w:val="Source"/>
      </w:pPr>
      <w:r>
        <w:rPr>
          <w:rFonts w:ascii="Arial" w:hAnsi="Arial" w:eastAsia="Arial"/>
        </w:rPr>
      </w:r>
      <w:r>
        <w:rPr>
          <w:rFonts w:ascii="Arial" w:hAnsi="Arial" w:eastAsia="Arial"/>
          <w:i/>
          <w:color w:val="5B6573"/>
          <w:sz w:val="17"/>
        </w:rPr>
        <w:t xml:space="preserve">Источник: </w:t>
      </w:r>
      <w:hyperlink r:id="rId14">
        <w:r>
          <w:rPr>
            <w:color w:val="5B6573"/>
            <w:u w:val="single"/>
            <w:rFonts w:ascii="Arial" w:hAnsi="Arial" w:eastAsia="Arial"/>
          </w:rPr>
          <w:t>Росстат: демография</w:t>
        </w:r>
      </w:hyperlink>
    </w:p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Три разных дефицита</w:t>
      </w:r>
    </w:p>
    <w:p>
      <w:pPr>
        <w:numPr>
          <w:ilvl w:val="0"/>
          <w:numId w:val="11"/>
        </w:numPr>
      </w:pPr>
      <w:r>
        <w:rPr>
          <w:rFonts w:ascii="Arial" w:hAnsi="Arial" w:eastAsia="Arial"/>
        </w:rPr>
        <w:t>Дефицит рождений. Малочисленные поколения входят в репродуктивный возраст; даже рост рождаемости на одну женщину не сразу увеличивает общее число рождений.</w:t>
      </w:r>
    </w:p>
    <w:p>
      <w:pPr>
        <w:numPr>
          <w:ilvl w:val="0"/>
          <w:numId w:val="11"/>
        </w:numPr>
      </w:pPr>
      <w:r>
        <w:rPr>
          <w:rFonts w:ascii="Arial" w:hAnsi="Arial" w:eastAsia="Arial"/>
        </w:rPr>
        <w:t>Дефицит здоровых лет жизни. Смертность трудоспособных возрастов, хронические заболевания и неравный доступ к профилактике уменьшают реальное предложение труда.</w:t>
      </w:r>
    </w:p>
    <w:p>
      <w:pPr>
        <w:numPr>
          <w:ilvl w:val="0"/>
          <w:numId w:val="11"/>
        </w:numPr>
      </w:pPr>
      <w:r>
        <w:rPr>
          <w:rFonts w:ascii="Arial" w:hAnsi="Arial" w:eastAsia="Arial"/>
        </w:rPr>
        <w:t>Дефицит территориального закрепления. Молодые и квалифицированные люди концентрируются в крупнейших агломерациях, оставляя периферии стареющую структуру и дорогую инфраструктуру на душу населения.</w:t>
      </w:r>
    </w:p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Что меняет траекторию</w:t>
      </w:r>
    </w:p>
    <w:p>
      <w:r>
        <w:rPr>
          <w:rFonts w:ascii="Arial" w:hAnsi="Arial" w:eastAsia="Arial"/>
        </w:rPr>
        <w:t>Денежная выплата сама по себе редко преодолевает совокупный барьер. Решение семьи зависит от доступности жилья, стабильности занятости, детских садов, медицинской помощи, времени на уход, транспортной доступности и уверенности в будущем. Политика должна оцениваться по полной стоимости рождения и воспитания ребенка для домохозяйства.</w:t>
      </w:r>
    </w:p>
    <w:p>
      <w:r>
        <w:rPr>
          <w:rFonts w:ascii="Arial" w:hAnsi="Arial" w:eastAsia="Arial"/>
        </w:rPr>
        <w:t>Миграция необходима для сглаживания предложения труда, но ее баланс определяется не только числом прибывших. Важны возраст, квалификация, знание языка, налоговая легализация, семейная интеграция и региональное распределение. Нужна селективная долгосрочная модель, а не только закрытие вакансий.</w:t>
      </w:r>
    </w:p>
    <w:p>
      <w:pPr>
        <w:pStyle w:val="Callout"/>
        <w:shd w:fill="F8E7E7"/>
        <w:pBdr>
          <w:left w:val="single" w:sz="22" w:space="6" w:color="A23B3B"/>
        </w:pBdr>
      </w:pPr>
      <w:r>
        <w:rPr>
          <w:rFonts w:ascii="Arial" w:hAnsi="Arial" w:eastAsia="Arial"/>
          <w:b/>
          <w:color w:val="A23B3B"/>
        </w:rPr>
        <w:t xml:space="preserve">Красная линия  </w:t>
      </w:r>
      <w:r>
        <w:rPr>
          <w:rFonts w:ascii="Arial" w:hAnsi="Arial" w:eastAsia="Arial"/>
          <w:b w:val="0"/>
          <w:color w:val="17365D"/>
        </w:rPr>
        <w:t>Ни один экономический сценарий 2035 года не устойчив без отдельного баланса населения: рождения, смертность, здоровая продолжительность жизни, миграция и территориальная закрепляемость должны учитываться совместно.</w:t>
      </w:r>
    </w:p>
    <w:p>
      <w:bookmarkStart w:id="10" w:name="human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7. Труд, доходы и человеческий капитал</w:t>
      </w:r>
      <w:bookmarkEnd w:id="10"/>
    </w:p>
    <w:p>
      <w:pPr>
        <w:pStyle w:val="Lead"/>
      </w:pPr>
      <w:r>
        <w:rPr>
          <w:rFonts w:ascii="Arial" w:hAnsi="Arial" w:eastAsia="Arial"/>
        </w:rPr>
        <w:t>Социальный результат последних 30 лет противоречив: массовая бедность 1990-х резко снизилась, реальная доступность товаров и услуг выросла, безработица достигла исторического минимума. Одновременно возник дефицит работников, сохраняется неравномерность доходов и доступа к качественным услугам, а рост зарплат опережает производительность в дефицитных сегментах.</w:t>
      </w:r>
    </w:p>
    <w:p>
      <w:pPr>
        <w:pStyle w:val="Caption"/>
      </w:pPr>
      <w:r>
        <w:rPr>
          <w:rFonts w:ascii="Arial" w:hAnsi="Arial" w:eastAsia="Arial"/>
        </w:rPr>
        <w:t>Рисунок 4. Доля населения ниже границы бедности, выбранные годы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2847431"/>
            <wp:docPr id="4" name="Picture 4" title="Рисунок 4. Доля населения ниже границы бедности, выбранные годы" descr="Линия снижается с 29 процентов в 2000 году до 6,7 процента в 2025 году, с локальным повышением до 13,4 процента в 2015 году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poverty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8474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ource"/>
      </w:pPr>
      <w:r>
        <w:rPr>
          <w:rFonts w:ascii="Arial" w:hAnsi="Arial" w:eastAsia="Arial"/>
        </w:rPr>
        <w:t>Источник: Росстат. С 2021 года применяется новая методика границы бедности; прямое сравнение требует оговорки.</w:t>
      </w:r>
    </w:p>
    <w:p>
      <w:pPr>
        <w:pStyle w:val="Caption"/>
      </w:pPr>
      <w:r>
        <w:rPr>
          <w:rFonts w:ascii="Arial" w:hAnsi="Arial" w:eastAsia="Arial"/>
        </w:rPr>
        <w:t>Таблица 10. Человеческий капитал как поток, а не расход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2400"/>
        <w:gridCol w:w="2960"/>
        <w:gridCol w:w="2500"/>
      </w:tblGrid>
      <w:tr>
        <w:trPr>
          <w:tblHeader w:val="true"/>
          <w:cantSplit/>
        </w:trPr>
        <w:tc>
          <w:tcPr>
            <w:tcW w:type="dxa" w:w="1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Баланс</w:t>
            </w:r>
          </w:p>
        </w:tc>
        <w:tc>
          <w:tcPr>
            <w:tcW w:type="dxa" w:w="24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Достижение</w:t>
            </w:r>
          </w:p>
        </w:tc>
        <w:tc>
          <w:tcPr>
            <w:tcW w:type="dxa" w:w="29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Новая уязвимость</w:t>
            </w:r>
          </w:p>
        </w:tc>
        <w:tc>
          <w:tcPr>
            <w:tcW w:type="dxa" w:w="2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Показатель контроля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Занятость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Безработица 2,2% в 2025 году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Дефицит кадров, перегрузка и текучесть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Вакансии, часы, производительность на час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Доходы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Снижение бедности до 6,7%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Разрыв стоимости жизни и медианных доходов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Медианный реальный располагаемый доход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Здоровье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Рост ОПЖ относительно 1990-х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Региональный разрыв и хронические заболевания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Здоровая ОПЖ и предотвратимая смертность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Образование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Высокий охват и цифровизация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Дефицит инженерных, рабочих и педагогических кадров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Трудоустройство по специальности, качество навыков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Жилье и семья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Рекордный ввод жилья</w:t>
            </w:r>
          </w:p>
        </w:tc>
        <w:tc>
          <w:tcPr>
            <w:tcW w:type="dxa" w:w="2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Доступность, ипотечная нагрузка, инфраструктура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Цена/доход, платеж/доход, места в социнфраструктуре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Переход от занятости к производительности</w:t>
      </w:r>
    </w:p>
    <w:p>
      <w:r>
        <w:rPr>
          <w:rFonts w:ascii="Arial" w:hAnsi="Arial" w:eastAsia="Arial"/>
        </w:rPr>
        <w:t>При почти полной занятости дополнительный выпуск нельзя устойчиво получать через постоянное удлинение рабочего времени. Нужны организационные инновации, техника, переобучение и мобильность. Критический показатель — не число занятых само по себе, а выпуск и качество на один здоровый рабочий час.</w:t>
      </w:r>
    </w:p>
    <w:p>
      <w:r>
        <w:rPr>
          <w:rFonts w:ascii="Arial" w:hAnsi="Arial" w:eastAsia="Arial"/>
        </w:rPr>
        <w:t>Система образования должна оцениваться по балансу компетенций: сколько специалистов подготовлено, сколько закрепилось в профессии и регионе, как быстро навыки устаревают, каков спрос предприятий. Заказ без ответственности за трудоустройство порождает формальный выпуск и реальный дефицит.</w:t>
      </w:r>
    </w:p>
    <w:p>
      <w:r>
        <w:rPr>
          <w:rFonts w:ascii="Arial" w:hAnsi="Arial" w:eastAsia="Arial"/>
        </w:rPr>
        <w:t>Снижение бедности — важный успех, но пороговый показатель недостаточен. Для воспроизводства семьи важны медианный доход после обязательных платежей, стоимость жилья и ухода за детьми, доступность медицины, а также резерв домохозяйства на случай потери дохода.</w:t>
      </w:r>
    </w:p>
    <w:p>
      <w:bookmarkStart w:id="11" w:name="technology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8. Промышленность, технологии и наука</w:t>
      </w:r>
      <w:bookmarkEnd w:id="11"/>
    </w:p>
    <w:p>
      <w:pPr>
        <w:pStyle w:val="Lead"/>
      </w:pPr>
      <w:r>
        <w:rPr>
          <w:rFonts w:ascii="Arial" w:hAnsi="Arial" w:eastAsia="Arial"/>
        </w:rPr>
        <w:t>Промышленный контур в 2022–2024 годах показал высокую способность к мобилизации и замещению поставок. Однако загрузка существующих линий и расширение отдельных отраслей не равны технологическому воспроизводству. Его критерий — способность самостоятельно проектировать, производить, обслуживать и следующей итерацией улучшать критические системы.</w:t>
      </w:r>
    </w:p>
    <w:p>
      <w:pPr>
        <w:pStyle w:val="Caption"/>
      </w:pPr>
      <w:r>
        <w:rPr>
          <w:rFonts w:ascii="Arial" w:hAnsi="Arial" w:eastAsia="Arial"/>
        </w:rPr>
        <w:t>Рисунок 5. Персонал НИОКР и внутренние затраты на исследования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2678113"/>
            <wp:docPr id="5" name="Picture 5" title="Рисунок 5. Персонал НИОКР и внутренние затраты на исследования" descr="Столбцы показывают сокращение персонала исследований примерно с 1,061 млн в 1995 году до 676 тыс. в 2024 году; линия доли затрат на НИОКР колеблется около 1 процента ВВП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scienc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6781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ource"/>
      </w:pPr>
      <w:r>
        <w:rPr>
          <w:rFonts w:ascii="Arial" w:hAnsi="Arial" w:eastAsia="Arial"/>
        </w:rPr>
        <w:t>Источник: Росстат; ИСИЭЗ НИУ ВШЭ по данным Росстата. Значения за отдельные годы округлены.</w:t>
      </w:r>
    </w:p>
    <w:p>
      <w:pPr>
        <w:pStyle w:val="Caption"/>
      </w:pPr>
      <w:r>
        <w:rPr>
          <w:rFonts w:ascii="Arial" w:hAnsi="Arial" w:eastAsia="Arial"/>
        </w:rPr>
        <w:t>Таблица 11. Лестница технологического воспроизводства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350"/>
        <w:gridCol w:w="2550"/>
        <w:gridCol w:w="2850"/>
        <w:gridCol w:w="2610"/>
      </w:tblGrid>
      <w:tr>
        <w:trPr>
          <w:tblHeader w:val="true"/>
          <w:cantSplit/>
        </w:trPr>
        <w:tc>
          <w:tcPr>
            <w:tcW w:type="dxa" w:w="13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Уровень</w:t>
            </w:r>
          </w:p>
        </w:tc>
        <w:tc>
          <w:tcPr>
            <w:tcW w:type="dxa" w:w="25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Что считается запасом</w:t>
            </w:r>
          </w:p>
        </w:tc>
        <w:tc>
          <w:tcPr>
            <w:tcW w:type="dxa" w:w="28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Что считается воспроизводством</w:t>
            </w:r>
          </w:p>
        </w:tc>
        <w:tc>
          <w:tcPr>
            <w:tcW w:type="dxa" w:w="26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Критический разрыв</w:t>
            </w:r>
          </w:p>
        </w:tc>
      </w:tr>
      <w:tr>
        <w:trPr>
          <w:cantSplit/>
        </w:trP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Наука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Школы, лаборатории, исследователи</w:t>
            </w:r>
          </w:p>
        </w:tc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Аспирантура, приборная база, публикации и результаты</w:t>
            </w: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Сокращение кадрового масштаба и старение инфраструктуры</w:t>
            </w:r>
          </w:p>
        </w:tc>
      </w:tr>
      <w:tr>
        <w:trPr>
          <w:cantSplit/>
        </w:trP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Инженерия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КБ, стандарты, проектные компетенции</w:t>
            </w:r>
          </w:p>
        </w:tc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Серийное проектирование и испытания</w:t>
            </w: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Разрыв между прототипом и серией</w:t>
            </w:r>
          </w:p>
        </w:tc>
      </w:tr>
      <w:tr>
        <w:trPr>
          <w:cantSplit/>
        </w:trP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Производство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Линии, станки, оснастка, поставщики</w:t>
            </w:r>
          </w:p>
        </w:tc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Обновление оборудования и качества</w:t>
            </w: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Компоненты, станкостроение, метрология</w:t>
            </w:r>
          </w:p>
        </w:tc>
      </w:tr>
      <w:tr>
        <w:trPr>
          <w:cantSplit/>
        </w:trP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Рынок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Заказчики и каналы сбыта</w:t>
            </w:r>
          </w:p>
        </w:tc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Длинный спрос на отечественные решения</w:t>
            </w: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Пилоты без масштабирования</w:t>
            </w:r>
          </w:p>
        </w:tc>
      </w:tr>
      <w:tr>
        <w:trPr>
          <w:cantSplit/>
        </w:trPr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Данные и ПО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Модели, платформы, вычисления</w:t>
            </w:r>
          </w:p>
        </w:tc>
        <w:tc>
          <w:tcPr>
            <w:tcW w:type="dxa" w:w="2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Обновление, киберустойчивость, обратная связь</w:t>
            </w: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Фрагментация и зависимость от закрытых стеков</w:t>
            </w:r>
          </w:p>
        </w:tc>
      </w:tr>
    </w:tbl>
    <w:p>
      <w:r>
        <w:rPr>
          <w:rFonts w:ascii="Arial" w:hAnsi="Arial" w:eastAsia="Arial"/>
        </w:rPr>
        <w:t>В 2024 году внутренние затраты на исследования и разработки с учетом малого бизнеса оценивались примерно в 1,94 трлн рублей, или 0,97% ВВП. Это значительно ниже национального ориентира не менее 2% ВВП к 2030 году. Важна не только сумма, но и доля предпринимательского финансирования, конкурсность, измеримая отдача и устойчивость команд.</w:t>
      </w:r>
    </w:p>
    <w:p>
      <w:r>
        <w:rPr>
          <w:rFonts w:ascii="Arial" w:hAnsi="Arial" w:eastAsia="Arial"/>
        </w:rPr>
        <w:t>Количество отечественных заявок на изобретения в 2024 году выросло до 41,4 тыс. Однако патент — промежуточный результат. Баланс должен отслеживать долю разработок, дошедших до пилота, серии, экспорта и повторного заказа.</w:t>
      </w:r>
    </w:p>
    <w:p>
      <w:r>
        <w:rPr>
          <w:rFonts w:ascii="Arial" w:hAnsi="Arial" w:eastAsia="Arial"/>
        </w:rPr>
        <w:t>Технологический суверенитет следует трактовать как управляемую взаимозависимость: критические функции должны иметь отечественную замену и ремонтопригодность, а некритические — подключаться к глобальным цепочкам на диверсифицированной основе.</w:t>
      </w:r>
    </w:p>
    <w:p>
      <w:pPr>
        <w:pStyle w:val="Callout"/>
        <w:shd w:fill="E7F2EB"/>
        <w:pBdr>
          <w:left w:val="single" w:sz="22" w:space="6" w:color="3B7D5B"/>
        </w:pBdr>
      </w:pPr>
      <w:r>
        <w:rPr>
          <w:rFonts w:ascii="Arial" w:hAnsi="Arial" w:eastAsia="Arial"/>
          <w:b/>
          <w:color w:val="3B7D5B"/>
        </w:rPr>
        <w:t xml:space="preserve">Цель 2030  </w:t>
      </w:r>
      <w:r>
        <w:rPr>
          <w:rFonts w:ascii="Arial" w:hAnsi="Arial" w:eastAsia="Arial"/>
          <w:b w:val="0"/>
          <w:color w:val="17365D"/>
        </w:rPr>
        <w:t>Не менее 2% ВВП на НИОКР имеет смысл только вместе с ростом числа устойчивых исследовательских команд, серийных внедрений и частного софинансирования. Иначе растет расход, но не воспроизводится система.</w:t>
      </w:r>
    </w:p>
    <w:p>
      <w:bookmarkStart w:id="12" w:name="energy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9. Энергетический и материальный баланс</w:t>
      </w:r>
      <w:bookmarkEnd w:id="12"/>
    </w:p>
    <w:p>
      <w:pPr>
        <w:pStyle w:val="Lead"/>
      </w:pPr>
      <w:r>
        <w:rPr>
          <w:rFonts w:ascii="Arial" w:hAnsi="Arial" w:eastAsia="Arial"/>
        </w:rPr>
        <w:t>Россия обладает крупным физическим ресурсным запасом и устойчивым производством энергии. Ограничение находится не столько в объеме сырья, сколько в стоимости добычи, качестве переработки, логистике, оборудовании и экологических обязательствах. Для стратегии важен не валовой тоннаж, а чистая добавленная стоимость на единицу извлеченного ресурса.</w:t>
      </w:r>
    </w:p>
    <w:p>
      <w:pPr>
        <w:pStyle w:val="Caption"/>
      </w:pPr>
      <w:r>
        <w:rPr>
          <w:rFonts w:ascii="Arial" w:hAnsi="Arial" w:eastAsia="Arial"/>
        </w:rPr>
        <w:t>Рисунок 6. Индекс физического выпуска нефти, угля и электроэнергии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2263074"/>
            <wp:docPr id="6" name="Picture 6" title="Рисунок 6. Индекс физического выпуска нефти, угля и электроэнергии" descr="Три линии показывают рост добычи нефти примерно на две трети, угля также примерно на две трети и выработки электроэнергии на 38 процентов относительно 1995 года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6_resources_index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26307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ource"/>
      </w:pPr>
      <w:r>
        <w:rPr>
          <w:rFonts w:ascii="Arial" w:hAnsi="Arial" w:eastAsia="Arial"/>
        </w:rPr>
        <w:t>Источник: Росстат; Минэнерго России. 1995 = 100; значения за 2025 год предварительные/оперативные.</w:t>
      </w:r>
    </w:p>
    <w:p>
      <w:pPr>
        <w:pStyle w:val="Caption"/>
      </w:pPr>
      <w:r>
        <w:rPr>
          <w:rFonts w:ascii="Arial" w:hAnsi="Arial" w:eastAsia="Arial"/>
        </w:rPr>
        <w:t>Таблица 12. Опорные физические ряды</w:t>
      </w:r>
    </w:p>
    <w:tbl>
      <w:tblPr>
        <w:tblStyle w:val="TableGrid"/>
        <w:tblW w:type="dxa" w:w="935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850"/>
        <w:gridCol w:w="850"/>
        <w:gridCol w:w="850"/>
        <w:gridCol w:w="850"/>
        <w:gridCol w:w="1000"/>
        <w:gridCol w:w="3050"/>
      </w:tblGrid>
      <w:tr>
        <w:trPr>
          <w:tblHeader w:val="true"/>
          <w:cantSplit/>
        </w:trPr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8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1995</w:t>
            </w:r>
          </w:p>
        </w:tc>
        <w:tc>
          <w:tcPr>
            <w:tcW w:type="dxa" w:w="8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2000</w:t>
            </w:r>
          </w:p>
        </w:tc>
        <w:tc>
          <w:tcPr>
            <w:tcW w:type="dxa" w:w="8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2008</w:t>
            </w:r>
          </w:p>
        </w:tc>
        <w:tc>
          <w:tcPr>
            <w:tcW w:type="dxa" w:w="8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2019</w:t>
            </w:r>
          </w:p>
        </w:tc>
        <w:tc>
          <w:tcPr>
            <w:tcW w:type="dxa" w:w="10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2025</w:t>
            </w:r>
          </w:p>
        </w:tc>
        <w:tc>
          <w:tcPr>
            <w:tcW w:type="dxa" w:w="30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Балансовый вывод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Нефть, млн т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около 307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324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488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561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511,5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Высокий уровень, но ниже пика; важны переработка и рынки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Уголь, млн т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около 263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258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329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442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около 440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Рост упирается в восточную логистику и спрос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Электроэнергия, млрд кВт·ч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около 860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877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1 040</w:t>
            </w:r>
          </w:p>
        </w:tc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около 1 114</w:t>
            </w:r>
          </w:p>
        </w:tc>
        <w:tc>
          <w:tcPr>
            <w:tcW w:type="dxa" w:w="10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1 183,9</w:t>
            </w:r>
          </w:p>
        </w:tc>
        <w:tc>
          <w:tcPr>
            <w:tcW w:type="dxa" w:w="30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Спрос растет; нужен сетевой и генерирующий резерв</w:t>
            </w:r>
          </w:p>
        </w:tc>
      </w:tr>
    </w:tbl>
    <w:p>
      <w:pPr>
        <w:pStyle w:val="Source"/>
      </w:pPr>
      <w:r>
        <w:rPr>
          <w:rFonts w:ascii="Arial" w:hAnsi="Arial" w:eastAsia="Arial"/>
        </w:rPr>
      </w:r>
      <w:r>
        <w:rPr>
          <w:rFonts w:ascii="Arial" w:hAnsi="Arial" w:eastAsia="Arial"/>
          <w:i/>
          <w:color w:val="5B6573"/>
          <w:sz w:val="17"/>
        </w:rPr>
        <w:t xml:space="preserve">Источник: </w:t>
      </w:r>
      <w:hyperlink r:id="rId18">
        <w:r>
          <w:rPr>
            <w:color w:val="5B6573"/>
            <w:u w:val="single"/>
            <w:rFonts w:ascii="Arial" w:hAnsi="Arial" w:eastAsia="Arial"/>
          </w:rPr>
          <w:t>Минэнерго России: итоги 2025 года</w:t>
        </w:r>
      </w:hyperlink>
    </w:p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Пять уровней эффективности ресурса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извлечение с минимальными потерями и аварийностью;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глубина переработки и качество продукта;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энергоэффективность собственного производства;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логистическая стоимость и диверсификация рынка;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закрытие экологического обязательства: утилизация, рекультивация, вода и выбросы.</w:t>
      </w:r>
    </w:p>
    <w:p>
      <w:r>
        <w:rPr>
          <w:rFonts w:ascii="Arial" w:hAnsi="Arial" w:eastAsia="Arial"/>
        </w:rPr>
        <w:t>Электроэнергетика становится инфраструктурой нового промышленного цикла. Дата-центры, электрификация транспорта, добывающие проекты и новые производства увеличивают нагрузку неравномерно по территориям. Общий профицит мощности может сосуществовать с локальным дефицитом сети и подключений.</w:t>
      </w:r>
    </w:p>
    <w:p>
      <w:r>
        <w:rPr>
          <w:rFonts w:ascii="Arial" w:hAnsi="Arial" w:eastAsia="Arial"/>
        </w:rPr>
        <w:t>Материальный баланс должен учитывать критические минералы и компоненты. Наличие руды не означает наличие реагентов, обогащения, чистых материалов, оборудования и сертифицированного конечного продукта. Поэтому паспорта цепочек нужны по функциям, а не только по видам сырья.</w:t>
      </w:r>
    </w:p>
    <w:p>
      <w:bookmarkStart w:id="13" w:name="food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10. Продовольствие, земля и вода</w:t>
      </w:r>
      <w:bookmarkEnd w:id="13"/>
    </w:p>
    <w:p>
      <w:pPr>
        <w:pStyle w:val="Lead"/>
      </w:pPr>
      <w:r>
        <w:rPr>
          <w:rFonts w:ascii="Arial" w:hAnsi="Arial" w:eastAsia="Arial"/>
        </w:rPr>
        <w:t>Агропродовольственный контур — один из наиболее заметных успехов адаптации. Урожаи зерна, производство мяса и экспорт продовольствия значительно выше уровней 1990-х. Но устойчивость зависит от семян, племенного материала, техники, средств защиты, плодородия почв, воды и транспортной цепочки.</w:t>
      </w:r>
    </w:p>
    <w:p>
      <w:pPr>
        <w:pStyle w:val="Caption"/>
      </w:pPr>
      <w:r>
        <w:rPr>
          <w:rFonts w:ascii="Arial" w:hAnsi="Arial" w:eastAsia="Arial"/>
        </w:rPr>
        <w:t>Таблица 13. Продовольственный баланс в динамике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750"/>
        <w:gridCol w:w="1100"/>
        <w:gridCol w:w="1250"/>
        <w:gridCol w:w="1550"/>
        <w:gridCol w:w="1900"/>
        <w:gridCol w:w="1810"/>
      </w:tblGrid>
      <w:tr>
        <w:trPr>
          <w:tblHeader w:val="true"/>
          <w:cantSplit/>
        </w:trPr>
        <w:tc>
          <w:tcPr>
            <w:tcW w:type="dxa" w:w="17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11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1995</w:t>
            </w:r>
          </w:p>
        </w:tc>
        <w:tc>
          <w:tcPr>
            <w:tcW w:type="dxa" w:w="12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2000</w:t>
            </w:r>
          </w:p>
        </w:tc>
        <w:tc>
          <w:tcPr>
            <w:tcW w:type="dxa" w:w="15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2008</w:t>
            </w:r>
          </w:p>
        </w:tc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2022–2024</w:t>
            </w:r>
          </w:p>
        </w:tc>
        <w:tc>
          <w:tcPr>
            <w:tcW w:type="dxa" w:w="18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Смысл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Зерно, млн т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63,4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65,4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108,2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в основном 126–158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Экспортный запас вырос, но урожай волатилен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Мясо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Глубокий спад производства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Начало восстановления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Быстрый рост птицы и свинины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Профицит по ряду категорий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Импортозамещение стало системным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Рыба и водные биоресурсы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Высокий природный потенциал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Экспорт сырья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Модернизация флота началась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Рост переработки неравномерен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Нужна большая глубина переработки</w:t>
            </w:r>
          </w:p>
        </w:tc>
      </w:tr>
      <w:tr>
        <w:trPr>
          <w:cantSplit/>
        </w:trPr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Земля и почвы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Большой резерв площадей</w:t>
            </w:r>
          </w:p>
        </w:tc>
        <w:tc>
          <w:tcPr>
            <w:tcW w:type="dxa" w:w="12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Недоинвестирование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Интенсификация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Рост нагрузки и климатических рисков</w:t>
            </w:r>
          </w:p>
        </w:tc>
        <w:tc>
          <w:tcPr>
            <w:tcW w:type="dxa" w:w="18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Плодородие — медленный капитал</w:t>
            </w:r>
          </w:p>
        </w:tc>
      </w:tr>
    </w:tbl>
    <w:p>
      <w:pPr>
        <w:pStyle w:val="Source"/>
      </w:pPr>
      <w:r>
        <w:rPr>
          <w:rFonts w:ascii="Arial" w:hAnsi="Arial" w:eastAsia="Arial"/>
        </w:rPr>
      </w:r>
      <w:r>
        <w:rPr>
          <w:rFonts w:ascii="Arial" w:hAnsi="Arial" w:eastAsia="Arial"/>
          <w:i/>
          <w:color w:val="5B6573"/>
          <w:sz w:val="17"/>
        </w:rPr>
        <w:t xml:space="preserve">Источник: </w:t>
      </w:r>
      <w:hyperlink r:id="rId19">
        <w:r>
          <w:rPr>
            <w:color w:val="5B6573"/>
            <w:u w:val="single"/>
            <w:rFonts w:ascii="Arial" w:hAnsi="Arial" w:eastAsia="Arial"/>
          </w:rPr>
          <w:t>Росстат: исторические данные по урожаю зерна</w:t>
        </w:r>
      </w:hyperlink>
    </w:p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Новая граница устойчивости</w:t>
      </w:r>
    </w:p>
    <w:p>
      <w:r>
        <w:rPr>
          <w:rFonts w:ascii="Arial" w:hAnsi="Arial" w:eastAsia="Arial"/>
        </w:rPr>
        <w:t>Физическое самообеспечение не закрывает технологические зависимости. Семенной материал, генетика, ветеринарные препараты, сельхозмашины, программное управление и холодильная логистика должны оцениваться как части одной цепочки.</w:t>
      </w:r>
    </w:p>
    <w:p>
      <w:r>
        <w:rPr>
          <w:rFonts w:ascii="Arial" w:hAnsi="Arial" w:eastAsia="Arial"/>
        </w:rPr>
        <w:t>Земля — возобновляемый ресурс только при воспроизводстве плодородия. Баланс гумуса, эрозия, кислотность, мелиорация и возврат органического вещества должны входить в экономику проекта так же, как топливо и удобрения.</w:t>
      </w:r>
    </w:p>
    <w:p>
      <w:r>
        <w:rPr>
          <w:rFonts w:ascii="Arial" w:hAnsi="Arial" w:eastAsia="Arial"/>
        </w:rPr>
        <w:t>Вода является территориальным, а не средним по стране ресурсом. Национальный профицит стока не исключает дефицита качественной воды, загрязнения бассейна или отсутствия инфраструктуры в конкретной зоне производства.</w:t>
      </w:r>
    </w:p>
    <w:p>
      <w:pPr>
        <w:pStyle w:val="Callout"/>
        <w:shd w:fill="E7F2EB"/>
        <w:pBdr>
          <w:left w:val="single" w:sz="22" w:space="6" w:color="3B7D5B"/>
        </w:pBdr>
      </w:pPr>
      <w:r>
        <w:rPr>
          <w:rFonts w:ascii="Arial" w:hAnsi="Arial" w:eastAsia="Arial"/>
          <w:b/>
          <w:color w:val="3B7D5B"/>
        </w:rPr>
        <w:t xml:space="preserve">Правило экспорта  </w:t>
      </w:r>
      <w:r>
        <w:rPr>
          <w:rFonts w:ascii="Arial" w:hAnsi="Arial" w:eastAsia="Arial"/>
          <w:b w:val="0"/>
          <w:color w:val="17365D"/>
        </w:rPr>
        <w:t>Экспорт продовольствия устойчив, если внутренние цены, качество почв, семенной и машинный контуры остаются в целевом диапазоне. Валовая выручка не должна финансироваться истощением природного капитала.</w:t>
      </w:r>
    </w:p>
    <w:p>
      <w:bookmarkStart w:id="14" w:name="infra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11. Инфраструктура и жилье</w:t>
      </w:r>
      <w:bookmarkEnd w:id="14"/>
    </w:p>
    <w:p>
      <w:pPr>
        <w:pStyle w:val="Lead"/>
      </w:pPr>
      <w:r>
        <w:rPr>
          <w:rFonts w:ascii="Arial" w:hAnsi="Arial" w:eastAsia="Arial"/>
        </w:rPr>
        <w:t>Инфраструктура соединяет все остальные балансы: без сети не реализуется промышленная мощность, без транспорта — ресурсный и продовольственный профицит, без коммунальных систем — ввод жилья, без связи — территориальная доступность услуг. Ее главный риск — невидимый разрыв между новым строительством и обслуживанием существующего фонда.</w:t>
      </w:r>
    </w:p>
    <w:p>
      <w:pPr>
        <w:pStyle w:val="Caption"/>
      </w:pPr>
      <w:r>
        <w:rPr>
          <w:rFonts w:ascii="Arial" w:hAnsi="Arial" w:eastAsia="Arial"/>
        </w:rPr>
        <w:t>Таблица 14. Инфраструктурный баланс жизненного цикла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2300"/>
        <w:gridCol w:w="2860"/>
        <w:gridCol w:w="2650"/>
      </w:tblGrid>
      <w:tr>
        <w:trPr>
          <w:tblHeader w:val="true"/>
          <w:cantSplit/>
        </w:trPr>
        <w:tc>
          <w:tcPr>
            <w:tcW w:type="dxa" w:w="15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Контур</w:t>
            </w:r>
          </w:p>
        </w:tc>
        <w:tc>
          <w:tcPr>
            <w:tcW w:type="dxa" w:w="23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Позитивный поток</w:t>
            </w:r>
          </w:p>
        </w:tc>
        <w:tc>
          <w:tcPr>
            <w:tcW w:type="dxa" w:w="28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Накопленное обязательство</w:t>
            </w:r>
          </w:p>
        </w:tc>
        <w:tc>
          <w:tcPr>
            <w:tcW w:type="dxa" w:w="26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Индикатор раннего предупреждения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Жилье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107,8 млн м² введено в 2024 году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Доступность, ипотечная нагрузка, соцобъекты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Платеж/доход; ввод сетей на 1 м²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Коммунальные сети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Модернизационные программы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Высокий износ и потери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Аварии, потери воды и тепла, срок замены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Железные дороги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Рост восточных перевозок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Узкие места подходов и портов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Время оборота, отказ в перевозке, скорость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Автодороги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Новые магистрали и ремонты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Региональная и муниципальная сеть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Доля в нормативном состоянии, стоимость жизненного цикла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Электросети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Новые подключения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Локальный дефицит и старение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Срок подключения, SAIDI/SAIFI, потери</w:t>
            </w:r>
          </w:p>
        </w:tc>
      </w:tr>
      <w:tr>
        <w:trPr>
          <w:cantSplit/>
        </w:trPr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Цифровая сеть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Около 90% домохозяйств имеют доступ к интернету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Разрыв качества и устойчивости</w:t>
            </w:r>
          </w:p>
        </w:tc>
        <w:tc>
          <w:tcPr>
            <w:tcW w:type="dxa" w:w="2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Скорость, отказоустойчивость, доступность в малых поселениях</w:t>
            </w:r>
          </w:p>
        </w:tc>
      </w:tr>
    </w:tbl>
    <w:p>
      <w:pPr>
        <w:pStyle w:val="Source"/>
      </w:pPr>
      <w:r>
        <w:rPr>
          <w:rFonts w:ascii="Arial" w:hAnsi="Arial" w:eastAsia="Arial"/>
        </w:rPr>
      </w:r>
      <w:r>
        <w:rPr>
          <w:rFonts w:ascii="Arial" w:hAnsi="Arial" w:eastAsia="Arial"/>
          <w:i/>
          <w:color w:val="5B6573"/>
          <w:sz w:val="17"/>
        </w:rPr>
        <w:t xml:space="preserve">Источник: </w:t>
      </w:r>
      <w:hyperlink r:id="rId20">
        <w:r>
          <w:rPr>
            <w:color w:val="5B6573"/>
            <w:u w:val="single"/>
            <w:rFonts w:ascii="Arial" w:hAnsi="Arial" w:eastAsia="Arial"/>
          </w:rPr>
          <w:t>Росстат: жилищное строительство 2024</w:t>
        </w:r>
      </w:hyperlink>
    </w:p>
    <w:p>
      <w:r>
        <w:rPr>
          <w:rFonts w:ascii="Arial" w:hAnsi="Arial" w:eastAsia="Arial"/>
        </w:rPr>
        <w:t>Средняя степень износа основных фондов 42,3% в 2024 году — сигнал, что объем ввода нельзя оценивать без выбытия и ремонта. Для каждой инфраструктурной программы нужен полный жизненный цикл: строительство, подключение, эксплуатация, ремонт и демонтаж.</w:t>
      </w:r>
    </w:p>
    <w:p>
      <w:r>
        <w:rPr>
          <w:rFonts w:ascii="Arial" w:hAnsi="Arial" w:eastAsia="Arial"/>
        </w:rPr>
        <w:t>Рекордный ввод жилья не гарантирует улучшения жилищного баланса, если цена и ипотечный платеж растут быстрее дохода, а новые районы не обеспечены рабочими местами, школами, поликлиниками и транспортом.</w:t>
      </w:r>
    </w:p>
    <w:p>
      <w:r>
        <w:rPr>
          <w:rFonts w:ascii="Arial" w:hAnsi="Arial" w:eastAsia="Arial"/>
        </w:rPr>
        <w:t>Восточный поворот торговли повышает стратегическую ценность железных дорог, портов, погранпереходов и Северного морского пути. Но выбор проекта должен учитывать не только валовой тоннаж, а прирост добавленной стоимости и надежности всей цепочки.</w:t>
      </w:r>
    </w:p>
    <w:p>
      <w:pPr>
        <w:pStyle w:val="Callout"/>
        <w:shd w:fill="F7F1D9"/>
        <w:pBdr>
          <w:left w:val="single" w:sz="22" w:space="6" w:color="C9A227"/>
        </w:pBdr>
      </w:pPr>
      <w:r>
        <w:rPr>
          <w:rFonts w:ascii="Arial" w:hAnsi="Arial" w:eastAsia="Arial"/>
          <w:b/>
          <w:color w:val="C9A227"/>
        </w:rPr>
        <w:t xml:space="preserve">Инвестиционный фильтр  </w:t>
      </w:r>
      <w:r>
        <w:rPr>
          <w:rFonts w:ascii="Arial" w:hAnsi="Arial" w:eastAsia="Arial"/>
          <w:b w:val="0"/>
          <w:color w:val="17365D"/>
        </w:rPr>
        <w:t>Новый объект должен проходить проверку по четырем балансам: спрос на мощность, наличие кадров, стоимость обслуживания и экологическое обязательство. Иначе ввод превращается в будущий бюджетный дефицит.</w:t>
      </w:r>
    </w:p>
    <w:p>
      <w:bookmarkStart w:id="15" w:name="territory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12. Территориальный баланс</w:t>
      </w:r>
      <w:bookmarkEnd w:id="15"/>
    </w:p>
    <w:p>
      <w:pPr>
        <w:pStyle w:val="Lead"/>
      </w:pPr>
      <w:r>
        <w:rPr>
          <w:rFonts w:ascii="Arial" w:hAnsi="Arial" w:eastAsia="Arial"/>
        </w:rPr>
        <w:t>Средняя по России скрывает несколько разных экономик: крупнейшие агломерации с дефицитом земли и людей; ресурсные регионы с высокой выручкой и узкой специализацией; старопромышленные территории с износом; аграрные зоны; малые города и удаленные поселения с высокой стоимостью базовых услуг. Универсальная мера дает разный эффект.</w:t>
      </w:r>
    </w:p>
    <w:p>
      <w:pPr>
        <w:pStyle w:val="Caption"/>
      </w:pPr>
      <w:r>
        <w:rPr>
          <w:rFonts w:ascii="Arial" w:hAnsi="Arial" w:eastAsia="Arial"/>
        </w:rPr>
        <w:t>Таблица 15. Разные модели территориального равновесия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2500"/>
        <w:gridCol w:w="2300"/>
        <w:gridCol w:w="2760"/>
      </w:tblGrid>
      <w:tr>
        <w:trPr>
          <w:tblHeader w:val="true"/>
          <w:cantSplit/>
        </w:trPr>
        <w:tc>
          <w:tcPr>
            <w:tcW w:type="dxa" w:w="18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Тип территории</w:t>
            </w:r>
          </w:p>
        </w:tc>
        <w:tc>
          <w:tcPr>
            <w:tcW w:type="dxa" w:w="2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Основной запас</w:t>
            </w:r>
          </w:p>
        </w:tc>
        <w:tc>
          <w:tcPr>
            <w:tcW w:type="dxa" w:w="23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Главный дефицит</w:t>
            </w:r>
          </w:p>
        </w:tc>
        <w:tc>
          <w:tcPr>
            <w:tcW w:type="dxa" w:w="27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Подход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Крупная агломерация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Люди, рынки, университеты, капитал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Жилье, транспорт, время, экология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Повышение плотности без потери качества среды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Ресурсный регион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Добыча и экспортная выручка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Диверсификация, кадры, сервисы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Локализация цепочек и фонд будущих поколений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Старопромышленный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Компетенции и инфраструктура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Обновление фондов и экология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Реинжиниринг площадок, чистое производство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Аграрный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Земля, продовольствие, поселения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Доходы, переработка, логистика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Кластеры переработки и базовые услуги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Малый/удаленный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Территория, природный и культурный капитал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Доступность услуг и связность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Опорные центры, мобильные и цифровые сервисы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Приграничный/коридорный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Логистика и торговое положение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Риски и пропускная способность</w:t>
            </w:r>
          </w:p>
        </w:tc>
        <w:tc>
          <w:tcPr>
            <w:tcW w:type="dxa" w:w="2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Надежность переходов, безопасность, сервис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От выравнивания расходов к выравниванию возможностей</w:t>
      </w:r>
    </w:p>
    <w:p>
      <w:r>
        <w:rPr>
          <w:rFonts w:ascii="Arial" w:hAnsi="Arial" w:eastAsia="Arial"/>
        </w:rPr>
        <w:t>Межбюджетные трансферты удерживают минимальный уровень услуг, но не создают автоматически экономическую базу. Территориальный баланс должен измерять доступность работы, образования, медицины и транспортного узла в разумном времени, а не только расходы бюджета на душу.</w:t>
      </w:r>
    </w:p>
    <w:p>
      <w:r>
        <w:rPr>
          <w:rFonts w:ascii="Arial" w:hAnsi="Arial" w:eastAsia="Arial"/>
        </w:rPr>
        <w:t>Опорный населенный пункт эффективен, если вокруг него формируется реальная зона доступности. Для каждой услуги нужно выбирать физическую, мобильную или цифровую форму и учитывать надежность связи, транспортный график и возрастную структуру населения.</w:t>
      </w:r>
    </w:p>
    <w:p>
      <w:r>
        <w:rPr>
          <w:rFonts w:ascii="Arial" w:hAnsi="Arial" w:eastAsia="Arial"/>
        </w:rPr>
        <w:t>Решение о размещении производства следует проверять по балансу воды, энергии, кадров, жилья и логистики. Налоговая льгота не компенсирует системный дефицит этих пяти ресурсов.</w:t>
      </w:r>
    </w:p>
    <w:p>
      <w:bookmarkStart w:id="16" w:name="ecology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13. Экология и климат</w:t>
      </w:r>
      <w:bookmarkEnd w:id="16"/>
    </w:p>
    <w:p>
      <w:pPr>
        <w:pStyle w:val="Lead"/>
      </w:pPr>
      <w:r>
        <w:rPr>
          <w:rFonts w:ascii="Arial" w:hAnsi="Arial" w:eastAsia="Arial"/>
        </w:rPr>
        <w:t>Экологический контур часто учитывается как внешний запрет, хотя по сути это баланс природного капитала и будущих обязательств. Загрязнение, отходы, деградация почв и климатический ущерб сначала повышают выпуск за счет неоплаченного ресурса, а затем возвращаются через здоровье, аварии, страхование, экспортные барьеры и бюджетную рекультивацию.</w:t>
      </w:r>
    </w:p>
    <w:p>
      <w:pPr>
        <w:pStyle w:val="Caption"/>
      </w:pPr>
      <w:r>
        <w:rPr>
          <w:rFonts w:ascii="Arial" w:hAnsi="Arial" w:eastAsia="Arial"/>
        </w:rPr>
        <w:t>Таблица 16. Экологический баланс как обязательство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2700"/>
        <w:gridCol w:w="2900"/>
        <w:gridCol w:w="2260"/>
      </w:tblGrid>
      <w:tr>
        <w:trPr>
          <w:tblHeader w:val="true"/>
          <w:cantSplit/>
        </w:trPr>
        <w:tc>
          <w:tcPr>
            <w:tcW w:type="dxa" w:w="1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Поток/запас</w:t>
            </w:r>
          </w:p>
        </w:tc>
        <w:tc>
          <w:tcPr>
            <w:tcW w:type="dxa" w:w="2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Состояние</w:t>
            </w:r>
          </w:p>
        </w:tc>
        <w:tc>
          <w:tcPr>
            <w:tcW w:type="dxa" w:w="2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Почему среднее вводит в заблуждение</w:t>
            </w:r>
          </w:p>
        </w:tc>
        <w:tc>
          <w:tcPr>
            <w:tcW w:type="dxa" w:w="22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Что считать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Отходы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Около 8,5 млрд т в 2024 году, в основном добывающие отходы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Масса не равна токсичности, но показывает масштаб материального потока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Образование, использование, захоронение, накопленный объект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Воздух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Снижение в части городов, локальные очаги сохраняются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Риск концентрирован по агломерациям и промышленным узлам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Экспозиция населения и дни превышений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Вода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Большой национальный ресурс, неравномерное качество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Дефицит и загрязнение бассейнов локальны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Забор, сброс, качество, повторное использование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Леса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Крупнейший запас, пожары и нелегальный оборот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Площадь не равна поглощению и качеству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Прирост, рубка, гибель, восстановление, углерод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Климат</w:t>
            </w:r>
          </w:p>
        </w:tc>
        <w:tc>
          <w:tcPr>
            <w:tcW w:type="dxa" w:w="2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Рост температуры выше среднемирового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Эффекты различны: мерзлота, жара, пожары, вода</w:t>
            </w:r>
          </w:p>
        </w:tc>
        <w:tc>
          <w:tcPr>
            <w:tcW w:type="dxa" w:w="2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Ущерб активам, адаптация, страховое покрытие</w:t>
            </w:r>
          </w:p>
        </w:tc>
      </w:tr>
    </w:tbl>
    <w:p>
      <w:pPr>
        <w:pStyle w:val="Source"/>
      </w:pPr>
      <w:r>
        <w:rPr>
          <w:rFonts w:ascii="Arial" w:hAnsi="Arial" w:eastAsia="Arial"/>
        </w:rPr>
      </w:r>
      <w:r>
        <w:rPr>
          <w:rFonts w:ascii="Arial" w:hAnsi="Arial" w:eastAsia="Arial"/>
          <w:i/>
          <w:color w:val="5B6573"/>
          <w:sz w:val="17"/>
        </w:rPr>
        <w:t xml:space="preserve">Источник: </w:t>
      </w:r>
      <w:hyperlink r:id="rId21">
        <w:r>
          <w:rPr>
            <w:color w:val="5B6573"/>
            <w:u w:val="single"/>
            <w:rFonts w:ascii="Arial" w:hAnsi="Arial" w:eastAsia="Arial"/>
          </w:rPr>
          <w:t>Минприроды России: государственный доклад</w:t>
        </w:r>
      </w:hyperlink>
    </w:p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Экономика замкнутого цикла</w:t>
      </w:r>
    </w:p>
    <w:p>
      <w:r>
        <w:rPr>
          <w:rFonts w:ascii="Arial" w:hAnsi="Arial" w:eastAsia="Arial"/>
        </w:rPr>
        <w:t>Для добывающих и металлургических цепочек основной потенциал — повторное использование вскрышных пород, шлаков, золы, металлолома и воды. Но переработка не должна быть формальной сменой кода отхода: нужен подтвержденный продукт, рынок и отсутствие переноса риска.</w:t>
      </w:r>
    </w:p>
    <w:p>
      <w:r>
        <w:rPr>
          <w:rFonts w:ascii="Arial" w:hAnsi="Arial" w:eastAsia="Arial"/>
        </w:rPr>
        <w:t>Для твердых коммунальных отходов приоритет — предотвращение образования, раздельный сбор, сортировка, повторное использование и только затем энергетическая утилизация или захоронение. Целевой показатель должен учитывать не мощность объекта, а фактическое сокращение захоронения.</w:t>
      </w:r>
    </w:p>
    <w:p>
      <w:r>
        <w:rPr>
          <w:rFonts w:ascii="Arial" w:hAnsi="Arial" w:eastAsia="Arial"/>
        </w:rPr>
        <w:t>Адаптация к климату — уже не сценарий далекого будущего. Для мерзлотной инфраструктуры, южного сельского хозяйства, лесных регионов и крупных городов нужны карты физического риска, включенные в стоимость капитала и страхования.</w:t>
      </w:r>
    </w:p>
    <w:p>
      <w:pPr>
        <w:pStyle w:val="Callout"/>
        <w:shd w:fill="F8E7E7"/>
        <w:pBdr>
          <w:left w:val="single" w:sz="22" w:space="6" w:color="A23B3B"/>
        </w:pBdr>
      </w:pPr>
      <w:r>
        <w:rPr>
          <w:rFonts w:ascii="Arial" w:hAnsi="Arial" w:eastAsia="Arial"/>
          <w:b/>
          <w:color w:val="A23B3B"/>
        </w:rPr>
        <w:t xml:space="preserve">Балансовый принцип  </w:t>
      </w:r>
      <w:r>
        <w:rPr>
          <w:rFonts w:ascii="Arial" w:hAnsi="Arial" w:eastAsia="Arial"/>
          <w:b w:val="0"/>
          <w:color w:val="17365D"/>
        </w:rPr>
        <w:t>Природный ресурс не бесплатен. Если восстановление, мониторинг и будущая ликвидация не включены в цену проекта, система накапливает экологический долг вне бухгалтерского баланса.</w:t>
      </w:r>
    </w:p>
    <w:p>
      <w:bookmarkStart w:id="17" w:name="matrix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14. Интегральная матрица</w:t>
      </w:r>
      <w:bookmarkEnd w:id="17"/>
    </w:p>
    <w:p>
      <w:pPr>
        <w:pStyle w:val="Lead"/>
      </w:pPr>
      <w:r>
        <w:rPr>
          <w:rFonts w:ascii="Arial" w:hAnsi="Arial" w:eastAsia="Arial"/>
        </w:rPr>
        <w:t>Матрица сводит 13 контуров к единой логике. Зеленый статус означает, что запас и текущий поток в целом устойчивы; желтый — запас еще достаточен, но воспроизводство слабеет; оранжевый — отрицательный поток требует разворота политики; красный — дефицит уже ограничивает другие контуры. Оценка экспертная и предназначена для приоритизации, а не для статистического ранжирования.</w:t>
      </w:r>
    </w:p>
    <w:p>
      <w:pPr>
        <w:pStyle w:val="Caption"/>
      </w:pPr>
      <w:r>
        <w:rPr>
          <w:rFonts w:ascii="Arial" w:hAnsi="Arial" w:eastAsia="Arial"/>
        </w:rPr>
        <w:t>Рисунок 7. Экспертная карта национальных балансов по этапам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15000" cy="3735623"/>
            <wp:docPr id="7" name="Picture 7" title="Рисунок 7. Экспертная карта национальных балансов по этапам" descr="Тепловая карта 13 балансов и шести периодов. Финансовый, внешний, энергетический и продовольственный контуры улучшились после 2000 года; демографический, территориальный и экологический остаются напряженными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7_balance_heatmap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73562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ource"/>
      </w:pPr>
      <w:r>
        <w:rPr>
          <w:rFonts w:ascii="Arial" w:hAnsi="Arial" w:eastAsia="Arial"/>
        </w:rPr>
        <w:t>Источник: синтез официальных данных Росстата, Банка России, Минфина, Минэнерго и Минприроды. Не официальный индекс.</w:t>
      </w:r>
    </w:p>
    <w:p>
      <w:pPr>
        <w:pStyle w:val="Caption"/>
      </w:pPr>
      <w:r>
        <w:rPr>
          <w:rFonts w:ascii="Arial" w:hAnsi="Arial" w:eastAsia="Arial"/>
        </w:rPr>
        <w:t>Таблица 17. Каналы передачи дисбаланса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150"/>
        <w:gridCol w:w="2300"/>
        <w:gridCol w:w="2300"/>
        <w:gridCol w:w="2610"/>
      </w:tblGrid>
      <w:tr>
        <w:trPr>
          <w:tblHeader w:val="true"/>
          <w:cantSplit/>
        </w:trPr>
        <w:tc>
          <w:tcPr>
            <w:tcW w:type="dxa" w:w="21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Причинная связка</w:t>
            </w:r>
          </w:p>
        </w:tc>
        <w:tc>
          <w:tcPr>
            <w:tcW w:type="dxa" w:w="23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Первичный дефицит</w:t>
            </w:r>
          </w:p>
        </w:tc>
        <w:tc>
          <w:tcPr>
            <w:tcW w:type="dxa" w:w="23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Передача</w:t>
            </w:r>
          </w:p>
        </w:tc>
        <w:tc>
          <w:tcPr>
            <w:tcW w:type="dxa" w:w="261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Итоговый эффект</w:t>
            </w:r>
          </w:p>
        </w:tc>
      </w:tr>
      <w:tr>
        <w:trPr>
          <w:cantSplit/>
        </w:trPr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Демография → труд → инфляция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Мало работников и здоровых часов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Зарплаты растут быстрее выпуска</w:t>
            </w: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Рост издержек и жесткая ставка</w:t>
            </w:r>
          </w:p>
        </w:tc>
      </w:tr>
      <w:tr>
        <w:trPr>
          <w:cantSplit/>
        </w:trPr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Ставка → инвестиции → фонды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Дорогой длинный капитал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Перенос обновления и ремонт</w:t>
            </w: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Износ, аварии, слабая производительность</w:t>
            </w:r>
          </w:p>
        </w:tc>
      </w:tr>
      <w:tr>
        <w:trPr>
          <w:cantSplit/>
        </w:trPr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Технологии → импорт → внешний счет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Нет компонента/сервиса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Дорогой обходной импорт</w:t>
            </w: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Снижение чистой экспортной ренты</w:t>
            </w:r>
          </w:p>
        </w:tc>
      </w:tr>
      <w:tr>
        <w:trPr>
          <w:cantSplit/>
        </w:trPr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Инфраструктура → территория → демография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Нет доступности услуг и рынка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Отток молодежи</w:t>
            </w: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Старение и рост стоимости услуг</w:t>
            </w:r>
          </w:p>
        </w:tc>
      </w:tr>
      <w:tr>
        <w:trPr>
          <w:cantSplit/>
        </w:trPr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Экология → здоровье → труд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Загрязнение и климатический риск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Болезни, простои, ущерб активам</w:t>
            </w:r>
          </w:p>
        </w:tc>
        <w:tc>
          <w:tcPr>
            <w:tcW w:type="dxa" w:w="261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Снижение выпуска и рост бюджета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Главные несоответствия 2025 года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Финансовые сбережения домохозяйств велики, но длинный производственный капитал дорог.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Безработица минимальна, но производительность и автоматизация не закрывают кадровый разрыв.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Внешний профицит сохраняется, но доступ к технологическому импорту и части активов ограничен.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Ввод жилья рекордный, но демографическое решение семьи зависит от доступности и инфраструктуры, а не от метров в среднем.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Ресурсный выпуск высок, но переработка, логистика и экологическое закрытие определяют чистую ценность.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Государственный долг низок, но скрытое обязательство изношенных фондов велико.</w:t>
      </w:r>
    </w:p>
    <w:p>
      <w:bookmarkStart w:id="18" w:name="scenarios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15. Сценарии 2026–2035</w:t>
      </w:r>
      <w:bookmarkEnd w:id="18"/>
    </w:p>
    <w:p>
      <w:pPr>
        <w:pStyle w:val="Lead"/>
      </w:pPr>
      <w:r>
        <w:rPr>
          <w:rFonts w:ascii="Arial" w:hAnsi="Arial" w:eastAsia="Arial"/>
        </w:rPr>
        <w:t>Сценарии не являются прогнозом. Это три логически согласованных набора решений и последствий. Реальная траектория может сочетать их элементы, но выбор приоритетов должен быть явным: какие запасы расходуются, какие потоки усиливаются и какие обязательства принимаются.</w:t>
      </w:r>
    </w:p>
    <w:p>
      <w:pPr>
        <w:pStyle w:val="Caption"/>
      </w:pPr>
      <w:r>
        <w:rPr>
          <w:rFonts w:ascii="Arial" w:hAnsi="Arial" w:eastAsia="Arial"/>
        </w:rPr>
        <w:t>Таблица 18. Сценарная развилка</w:t>
      </w:r>
    </w:p>
    <w:tbl>
      <w:tblPr>
        <w:tblStyle w:val="TableGrid"/>
        <w:tblW w:type="dxa" w:w="941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450"/>
        <w:gridCol w:w="2550"/>
        <w:gridCol w:w="2550"/>
        <w:gridCol w:w="2860"/>
      </w:tblGrid>
      <w:tr>
        <w:trPr>
          <w:tblHeader w:val="true"/>
          <w:cantSplit/>
        </w:trPr>
        <w:tc>
          <w:tcPr>
            <w:tcW w:type="dxa" w:w="14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Параметр</w:t>
            </w:r>
          </w:p>
        </w:tc>
        <w:tc>
          <w:tcPr>
            <w:tcW w:type="dxa" w:w="25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А. Инерционная адаптация</w:t>
            </w:r>
          </w:p>
        </w:tc>
        <w:tc>
          <w:tcPr>
            <w:tcW w:type="dxa" w:w="25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Б. Инвестиционная мобилизация</w:t>
            </w:r>
          </w:p>
        </w:tc>
        <w:tc>
          <w:tcPr>
            <w:tcW w:type="dxa" w:w="28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В. Регенеративное равновесие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Логика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Сохранять текущие институты и реагировать на шоки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Ускорить выпуск через крупный государственный заказ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Связать инвестиции с воспроизводством людей, капитала и экосистем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Рост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Около 1–2% в среднем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Выше в начале, затем риск перегрева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2,5–3,5% как целевой коридор при росте производительности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Инфляция/ставка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Медленное снижение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Давление из-за ограничений предложения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Снижение через расширение емкости и координацию спроса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Демография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Продолжение естественной убыли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Труд замещается миграцией и нагрузкой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Семейная инфраструктура, здоровье, селективная миграция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Капитал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Износ сокращается медленно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Быстрый ввод, риск дорогого обслуживания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Жизненный цикл, производительность и ремонтопригодность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Технологии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Точечное импортозамещение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Приоритет критических отраслей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Платформы, серийность, частное софинансирование, экспорт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Экология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Компенсация ущерба постфактум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Риск вторичности экологических целей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Обязательство включено в проект и цену капитала</w:t>
            </w:r>
          </w:p>
        </w:tc>
      </w:tr>
      <w:tr>
        <w:trPr>
          <w:cantSplit/>
        </w:trPr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Главный риск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Медленное истощение запаса</w:t>
            </w:r>
          </w:p>
        </w:tc>
        <w:tc>
          <w:tcPr>
            <w:tcW w:type="dxa" w:w="25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Инфляция и неэффективный капекс</w:t>
            </w:r>
          </w:p>
        </w:tc>
        <w:tc>
          <w:tcPr>
            <w:tcW w:type="dxa" w:w="28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4"/>
              </w:rPr>
              <w:t>Сложность координации и измерения результата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Целевые коридоры сценария В</w:t>
      </w:r>
    </w:p>
    <w:p>
      <w:pPr>
        <w:pStyle w:val="Caption"/>
      </w:pPr>
      <w:r>
        <w:rPr>
          <w:rFonts w:ascii="Arial" w:hAnsi="Arial" w:eastAsia="Arial"/>
        </w:rPr>
        <w:t>Таблица 19. Управленческие ориентиры, а не точечный прогноз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700"/>
        <w:gridCol w:w="1900"/>
        <w:gridCol w:w="1800"/>
        <w:gridCol w:w="2160"/>
      </w:tblGrid>
      <w:tr>
        <w:trPr>
          <w:tblHeader w:val="true"/>
          <w:cantSplit/>
        </w:trPr>
        <w:tc>
          <w:tcPr>
            <w:tcW w:type="dxa" w:w="18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17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База</w:t>
            </w:r>
          </w:p>
        </w:tc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Ориентир 2030</w:t>
            </w:r>
          </w:p>
        </w:tc>
        <w:tc>
          <w:tcPr>
            <w:tcW w:type="dxa" w:w="18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Ориентир 2035</w:t>
            </w:r>
          </w:p>
        </w:tc>
        <w:tc>
          <w:tcPr>
            <w:tcW w:type="dxa" w:w="21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Условие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Реальный ВВП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+1,0% в 2025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2,5–3,5% в год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не ниже 3% трендово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Производительность и инвестиции без перегрева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Инфляция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5,59% дек/дек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около 4%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около 4%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Согласование бюджета и емкости предложения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НИОКР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0,97% ВВП в 2024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не менее 2% ВВП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2,5% ВВП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Рост команд, частного финансирования и внедрений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Износ основных фондов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42,3% в 2024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ниже 40%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35–38%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Выбытие и ремонт считаются вместе с вводом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Бедность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6,7% в 2025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ниже 7%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ниже 5%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Медианные доходы и адресность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ОПЖ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около 73 лет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78 лет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79–80 лет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Здоровые годы и профилактика</w:t>
            </w:r>
          </w:p>
        </w:tc>
      </w:tr>
      <w:tr>
        <w:trPr>
          <w:cantSplit/>
        </w:trP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СКР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около 1,4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1,6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1,7+</w:t>
            </w:r>
          </w:p>
        </w:tc>
        <w:tc>
          <w:tcPr>
            <w:tcW w:type="dxa" w:w="21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Полная инфраструктура семьи</w:t>
            </w:r>
          </w:p>
        </w:tc>
      </w:tr>
    </w:tbl>
    <w:p>
      <w:pPr>
        <w:pStyle w:val="Source"/>
      </w:pPr>
      <w:r>
        <w:rPr>
          <w:rFonts w:ascii="Arial" w:hAnsi="Arial" w:eastAsia="Arial"/>
        </w:rPr>
      </w:r>
      <w:r>
        <w:rPr>
          <w:rFonts w:ascii="Arial" w:hAnsi="Arial" w:eastAsia="Arial"/>
          <w:i/>
          <w:color w:val="5B6573"/>
          <w:sz w:val="17"/>
        </w:rPr>
        <w:t xml:space="preserve">Источник: </w:t>
      </w:r>
      <w:hyperlink r:id="rId23">
        <w:r>
          <w:rPr>
            <w:color w:val="5B6573"/>
            <w:u w:val="single"/>
            <w:rFonts w:ascii="Arial" w:hAnsi="Arial" w:eastAsia="Arial"/>
          </w:rPr>
          <w:t>Указ Президента РФ № 309 от 07.05.2024 и экспертные коридоры</w:t>
        </w:r>
      </w:hyperlink>
    </w:p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Триггеры пересмотра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Инфляция устойчиво выше 6% при росте выпуска ниже 2% — признак дефицита предложения, а не только спроса.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Ликвидная часть резервов покрывает менее двух лет стрессового дефицита — требуется приоритизация обязательств.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Инвестиции растут, а износ не снижается три года — ввод не компенсирует выбытие или качество учета недостаточно.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Число рождений и здоровая ОПЖ одновременно ухудшаются два года — демографическая политика переводится в режим первоочередной программы.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Доля серийных внедрений не растет при увеличении НИОКР — финансирование перераспределяется от процесса к проверенному переходу в производство.</w:t>
      </w:r>
    </w:p>
    <w:p>
      <w:bookmarkStart w:id="19" w:name="agenda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16. Стратегическая повестка</w:t>
      </w:r>
      <w:bookmarkEnd w:id="19"/>
    </w:p>
    <w:p>
      <w:pPr>
        <w:pStyle w:val="Lead"/>
      </w:pPr>
      <w:r>
        <w:rPr>
          <w:rFonts w:ascii="Arial" w:hAnsi="Arial" w:eastAsia="Arial"/>
        </w:rPr>
        <w:t>Нужна не еще одна сумма отраслевых программ, а механизм согласования балансов. Каждая крупная мера должна показывать, какой запас она создает, какой поток меняет, какое обязательство принимает и какой соседний контур может ограничить результат.</w:t>
      </w:r>
    </w:p>
    <w:p>
      <w:pPr>
        <w:pStyle w:val="Caption"/>
      </w:pPr>
      <w:r>
        <w:rPr>
          <w:rFonts w:ascii="Arial" w:hAnsi="Arial" w:eastAsia="Arial"/>
        </w:rPr>
        <w:t>Таблица 20. Портфель первоочередных решений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50"/>
        <w:gridCol w:w="3650"/>
        <w:gridCol w:w="2600"/>
        <w:gridCol w:w="1260"/>
      </w:tblGrid>
      <w:tr>
        <w:trPr>
          <w:tblHeader w:val="true"/>
          <w:cantSplit/>
        </w:trPr>
        <w:tc>
          <w:tcPr>
            <w:tcW w:type="dxa" w:w="18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Приоритет</w:t>
            </w:r>
          </w:p>
        </w:tc>
        <w:tc>
          <w:tcPr>
            <w:tcW w:type="dxa" w:w="365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Решение 2026–2028</w:t>
            </w:r>
          </w:p>
        </w:tc>
        <w:tc>
          <w:tcPr>
            <w:tcW w:type="dxa" w:w="26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Ключевой результат</w:t>
            </w:r>
          </w:p>
        </w:tc>
        <w:tc>
          <w:tcPr>
            <w:tcW w:type="dxa" w:w="12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Горизонт</w:t>
            </w:r>
          </w:p>
        </w:tc>
      </w:tr>
      <w:tr>
        <w:trPr>
          <w:cantSplit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1. Единая система балансов</w:t>
            </w:r>
          </w:p>
        </w:tc>
        <w:tc>
          <w:tcPr>
            <w:tcW w:type="dxa" w:w="3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Национальный регистр запасов, потоков и обязательств с паспортами данных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Ежеквартальная панель раннего предупреждения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12–18 мес.</w:t>
            </w:r>
          </w:p>
        </w:tc>
      </w:tr>
      <w:tr>
        <w:trPr>
          <w:cantSplit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2. Демографическое воспроизводство</w:t>
            </w:r>
          </w:p>
        </w:tc>
        <w:tc>
          <w:tcPr>
            <w:tcW w:type="dxa" w:w="3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Пакет «жилье + уход + здоровье + время + занятость» по типам семей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Снижение полной стоимости рождения и воспитания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3–10 лет</w:t>
            </w:r>
          </w:p>
        </w:tc>
      </w:tr>
      <w:tr>
        <w:trPr>
          <w:cantSplit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3. Производительность</w:t>
            </w:r>
          </w:p>
        </w:tc>
        <w:tc>
          <w:tcPr>
            <w:tcW w:type="dxa" w:w="3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Фонд автоматизации и организационной трансформации МСП и индустрии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Выпуск на час и высвобождение дефицитного труда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2–5 лет</w:t>
            </w:r>
          </w:p>
        </w:tc>
      </w:tr>
      <w:tr>
        <w:trPr>
          <w:cantSplit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4. Основной капитал</w:t>
            </w:r>
          </w:p>
        </w:tc>
        <w:tc>
          <w:tcPr>
            <w:tcW w:type="dxa" w:w="3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Паспорта жизненного цикла сетей и производственных активов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Износ снижается одновременно с вводом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3–10 лет</w:t>
            </w:r>
          </w:p>
        </w:tc>
      </w:tr>
      <w:tr>
        <w:trPr>
          <w:cantSplit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5. Технологические цепочки</w:t>
            </w:r>
          </w:p>
        </w:tc>
        <w:tc>
          <w:tcPr>
            <w:tcW w:type="dxa" w:w="3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Карты критических функций: проектирование—компонент—сервис—серия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Серийная ремонтопригодная отечественная функция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2–8 лет</w:t>
            </w:r>
          </w:p>
        </w:tc>
      </w:tr>
      <w:tr>
        <w:trPr>
          <w:cantSplit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6. Длинные деньги</w:t>
            </w:r>
          </w:p>
        </w:tc>
        <w:tc>
          <w:tcPr>
            <w:tcW w:type="dxa" w:w="3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Инструменты сбережений, привязанные к проверенным инфраструктурным и промышленным проектам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Часть избыточной ликвидности становится капиталом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2–5 лет</w:t>
            </w:r>
          </w:p>
        </w:tc>
      </w:tr>
      <w:tr>
        <w:trPr>
          <w:cantSplit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7. Территориальная связность</w:t>
            </w:r>
          </w:p>
        </w:tc>
        <w:tc>
          <w:tcPr>
            <w:tcW w:type="dxa" w:w="3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Стандарты доступности услуг и опорных центров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Снижение вынужденной миграции и времени доступа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3–8 лет</w:t>
            </w:r>
          </w:p>
        </w:tc>
      </w:tr>
      <w:tr>
        <w:trPr>
          <w:cantSplit/>
        </w:trPr>
        <w:tc>
          <w:tcPr>
            <w:tcW w:type="dxa" w:w="18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8. Экологическое закрытие</w:t>
            </w:r>
          </w:p>
        </w:tc>
        <w:tc>
          <w:tcPr>
            <w:tcW w:type="dxa" w:w="365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Резервирование стоимости ликвидации и восстановления в проекте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Сокращение накопленного экологического долга</w:t>
            </w:r>
          </w:p>
        </w:tc>
        <w:tc>
          <w:tcPr>
            <w:tcW w:type="dxa" w:w="12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2–10 лет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Цифровой контур «ЭКВИЛИБРИУМ — Балансы России»</w:t>
      </w:r>
    </w:p>
    <w:p>
      <w:r>
        <w:rPr>
          <w:rFonts w:ascii="Arial" w:hAnsi="Arial" w:eastAsia="Arial"/>
        </w:rPr>
        <w:t>Цифровая система должна быть не витриной показателей, а машиной проверки решений. Ее ядро — связанный граф запасов, потоков, ограничений и обязательств, где каждое значение имеет источник, дату, методику и уровень неопределенности.</w:t>
      </w:r>
    </w:p>
    <w:p>
      <w:r>
        <w:rPr>
          <w:rFonts w:ascii="Arial" w:hAnsi="Arial" w:eastAsia="Arial"/>
        </w:rPr>
        <w:t>Первый пилот целесообразно строить на трех сквозных цепочках: «демография—труд—жилье», «инвестиции—фонды—энергосеть» и «ресурс—переработка—логистика—экологическое закрытие». Они охватывают главный дефицит человека, капитала и природного обязательства.</w:t>
      </w:r>
    </w:p>
    <w:p>
      <w:pPr>
        <w:pStyle w:val="Caption"/>
      </w:pPr>
      <w:r>
        <w:rPr>
          <w:rFonts w:ascii="Arial" w:hAnsi="Arial" w:eastAsia="Arial"/>
        </w:rPr>
        <w:t>Таблица 21. Архитектура цифрового контура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4300"/>
        <w:gridCol w:w="3560"/>
      </w:tblGrid>
      <w:tr>
        <w:trPr>
          <w:tblHeader w:val="true"/>
          <w:cantSplit/>
        </w:trPr>
        <w:tc>
          <w:tcPr>
            <w:tcW w:type="dxa" w:w="1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Модуль</w:t>
            </w:r>
          </w:p>
        </w:tc>
        <w:tc>
          <w:tcPr>
            <w:tcW w:type="dxa" w:w="43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Функция</w:t>
            </w:r>
          </w:p>
        </w:tc>
        <w:tc>
          <w:tcPr>
            <w:tcW w:type="dxa" w:w="35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Выход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DATA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Версионирование официальных рядов, разрывов методик и территорий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Проверяемый паспорт показателя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BALANCE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Расчет запасов, притоков, выбытия, резервов и обязательств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Сальдо и время до порога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STRESS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Шоки цены, ставки, демографии, логистики и климата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Карта уязвимости и каскада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SCENARIO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Сравнение пакетов решений и лагов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Коридор результата и цена ошибки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PORTFOLIO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Приоритизация проектов по нескольким балансам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Очередность, финансирование, контрольные точки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AUDIT</w:t>
            </w:r>
          </w:p>
        </w:tc>
        <w:tc>
          <w:tcPr>
            <w:tcW w:type="dxa" w:w="43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Фиксация источника, предположения, владельца и пересмотра</w:t>
            </w:r>
          </w:p>
        </w:tc>
        <w:tc>
          <w:tcPr>
            <w:tcW w:type="dxa" w:w="35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6"/>
              </w:rPr>
              <w:t>След решения и независимая проверка</w:t>
            </w:r>
          </w:p>
        </w:tc>
      </w:tr>
    </w:tbl>
    <w:p>
      <w:pPr>
        <w:pStyle w:val="Callout"/>
        <w:shd w:fill="E8EEF5"/>
        <w:pBdr>
          <w:left w:val="single" w:sz="22" w:space="6" w:color="2E74B5"/>
        </w:pBdr>
      </w:pPr>
      <w:r>
        <w:rPr>
          <w:rFonts w:ascii="Arial" w:hAnsi="Arial" w:eastAsia="Arial"/>
          <w:b/>
          <w:color w:val="2E74B5"/>
        </w:rPr>
        <w:t xml:space="preserve">Интеграционный пилот  </w:t>
      </w:r>
      <w:r>
        <w:rPr>
          <w:rFonts w:ascii="Arial" w:hAnsi="Arial" w:eastAsia="Arial"/>
          <w:b w:val="0"/>
          <w:color w:val="17365D"/>
        </w:rPr>
        <w:t>Проекты ECO-PPA и «СПЕЦЗАЩИТА» могут быть подключены как прикладные контуры проверки экологического обязательства, энергоснабжения и защищенности критической инфраструктуры — после унификации показателей и правил верификации.</w:t>
      </w:r>
    </w:p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Организационная модель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малый центр методологии, отвечающий за определения, качество данных и межконтурные связи;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владельцы каждого баланса в профильных ведомствах и институтах развития;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независимый научно-экспертный совет для проверки допущений и сценариев;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открытый слой агрегированных данных и защищенный слой проектной/чувствительной информации;</w:t>
      </w:r>
    </w:p>
    <w:p>
      <w:pPr>
        <w:numPr>
          <w:ilvl w:val="0"/>
          <w:numId w:val="10"/>
        </w:numPr>
      </w:pPr>
      <w:r>
        <w:rPr>
          <w:rFonts w:ascii="Arial" w:hAnsi="Arial" w:eastAsia="Arial"/>
        </w:rPr>
        <w:t>ежегодный национальный отчет и ежеквартальная панель ранних сигналов.</w:t>
      </w:r>
    </w:p>
    <w:p>
      <w:bookmarkStart w:id="20" w:name="conclusion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Заключение</w:t>
      </w:r>
      <w:bookmarkEnd w:id="20"/>
    </w:p>
    <w:p>
      <w:pPr>
        <w:pStyle w:val="Lead"/>
      </w:pPr>
      <w:r>
        <w:rPr>
          <w:rFonts w:ascii="Arial" w:hAnsi="Arial" w:eastAsia="Arial"/>
        </w:rPr>
        <w:t>За тридцать лет Россия создала то, чего ей не хватало в 1990-е: платежную устойчивость государства, резервный контур, конкурентоспособные экспортные отрасли, продовольственную базу, низкую безработицу и способность быстро адаптировать институты. Это реальный капитал устойчивости.</w:t>
      </w:r>
    </w:p>
    <w:p>
      <w:r>
        <w:rPr>
          <w:rFonts w:ascii="Arial" w:hAnsi="Arial" w:eastAsia="Arial"/>
        </w:rPr>
        <w:t>Но следующая задача другого типа. Запас валюты не заменяет ребенка, инженерную школу, исправную сеть, плодородную почву или серийную технологию. Эти активы воспроизводятся медленно, требуют согласования и не возникают автоматически из текущего профицита.</w:t>
      </w:r>
    </w:p>
    <w:p>
      <w:r>
        <w:rPr>
          <w:rFonts w:ascii="Arial" w:hAnsi="Arial" w:eastAsia="Arial"/>
        </w:rPr>
        <w:t>Поэтому критерий успеха 2026–2035 годов — не максимум отдельного показателя, а совместная устойчивость: рост без ускорения инфляции; занятость без истощения людей; экспорт без технологического обеднения; строительство без накопления износа; добыча без экологического долга; территория без вынужденного оттока.</w:t>
      </w:r>
    </w:p>
    <w:p>
      <w:r>
        <w:rPr>
          <w:rFonts w:ascii="Arial" w:hAnsi="Arial" w:eastAsia="Arial"/>
        </w:rPr>
        <w:t>Главный управленческий переход — от реакции на дефициты к проектированию воспроизводства. Национальный баланс должен стать постоянным циклом: измерить запас, увидеть поток, проверить ограничение, выбрать портфель, зафиксировать обязательство и пересмотреть решение по факту.</w:t>
      </w:r>
    </w:p>
    <w:p>
      <w:pPr>
        <w:pStyle w:val="Callout"/>
        <w:shd w:fill="F7F1D9"/>
        <w:pBdr>
          <w:left w:val="single" w:sz="22" w:space="6" w:color="C9A227"/>
        </w:pBdr>
      </w:pPr>
      <w:r>
        <w:rPr>
          <w:rFonts w:ascii="Arial" w:hAnsi="Arial" w:eastAsia="Arial"/>
          <w:b/>
          <w:color w:val="C9A227"/>
        </w:rPr>
        <w:t xml:space="preserve">Итоговая формула  </w:t>
      </w:r>
      <w:r>
        <w:rPr>
          <w:rFonts w:ascii="Arial" w:hAnsi="Arial" w:eastAsia="Arial"/>
          <w:b w:val="0"/>
          <w:color w:val="17365D"/>
        </w:rPr>
        <w:t>Суверенитет XXI века — это способность не только выдержать шок, но и воспроизвести людей, знания, капитал, инфраструктуру и природную среду быстрее, чем они выбывают.</w:t>
      </w:r>
    </w:p>
    <w:p>
      <w:bookmarkStart w:id="21" w:name="appendix_a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Приложение А. Паспорта показателей</w:t>
      </w:r>
      <w:bookmarkEnd w:id="21"/>
    </w:p>
    <w:p>
      <w:pPr>
        <w:pStyle w:val="Lead"/>
      </w:pPr>
      <w:r>
        <w:rPr>
          <w:rFonts w:ascii="Arial" w:hAnsi="Arial" w:eastAsia="Arial"/>
        </w:rPr>
        <w:t>Ниже — минимальный набор для рабочей панели. Каждый показатель должен храниться с версией, территорией, единицей, частотой, источником, методикой пересмотра и интервалом неопределенности.</w:t>
      </w:r>
    </w:p>
    <w:p>
      <w:pPr>
        <w:pStyle w:val="Caption"/>
      </w:pPr>
      <w:r>
        <w:rPr>
          <w:rFonts w:ascii="Arial" w:hAnsi="Arial" w:eastAsia="Arial"/>
        </w:rPr>
        <w:t>Таблица А1. Минимальные паспорта 13 балансов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2100"/>
        <w:gridCol w:w="2100"/>
        <w:gridCol w:w="1900"/>
        <w:gridCol w:w="1760"/>
      </w:tblGrid>
      <w:tr>
        <w:trPr>
          <w:tblHeader w:val="true"/>
          <w:cantSplit/>
        </w:trPr>
        <w:tc>
          <w:tcPr>
            <w:tcW w:type="dxa" w:w="15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Контур</w:t>
            </w:r>
          </w:p>
        </w:tc>
        <w:tc>
          <w:tcPr>
            <w:tcW w:type="dxa" w:w="21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Запас</w:t>
            </w:r>
          </w:p>
        </w:tc>
        <w:tc>
          <w:tcPr>
            <w:tcW w:type="dxa" w:w="21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Поток</w:t>
            </w:r>
          </w:p>
        </w:tc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Стресс-индикатор</w:t>
            </w:r>
          </w:p>
        </w:tc>
        <w:tc>
          <w:tcPr>
            <w:tcW w:type="dxa" w:w="17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Целевой коридор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Демография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Численность, возраст, здоровая ОПЖ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Рождения, смерти, миграция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СКР; естественное сальдо</w:t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СКР ≥1,6; ОПЖ 78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Человеческий капитал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Здоровые годы, компетенции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Выпуск, переобучение, утрата навыков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Предотвратимая смертность; трудоустройство</w:t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Рост здоровой ОПЖ; &gt;75% закрепления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Труд и доходы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Рабочая сила, резервы домохозяйств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Часы, зарплаты, налоги, трансферты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Производительность/час; медианный доход</w:t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Производительность ≥2%/год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Макроэкономика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Производственный капитал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Выпуск, инвестиции, выбытие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Потенциальный рост; разрыв выпуска</w:t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Тренд 2,5–3,5%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Бюджет и долг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ФНБ, налоговая база, долг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Доходы, расходы, заимствования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Структурное сальдо; обслуживание</w:t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Долг &lt;25% ВВП; устойчивый первичный баланс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Деньги и финансы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Сбережения, капитал банков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Кредит, проценты, дефолты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Реальная ставка; длинный кредит</w:t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Инфляция около 4%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Внешний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Резервы, внешние активы/долг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Экспорт, импорт, доходы, капитал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Доступный резерв; концентрация</w:t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Положительный счет без сжатия импорта капитала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Технологии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Команды, патенты, платформы, оборудование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НИОКР, пилоты, серии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Серия/пилот; частное софинансирование</w:t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НИОКР ≥2% ВВП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Энергия и материалы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Запасы, мощности, сети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Добыча, переработка, потери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Добавленная стоимость/т; резерв сети</w:t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Снижение энергоемкости ≥2%/год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Продовольствие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Почвы, семена, стада, мощности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Урожай, потребление, экспорт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Самообеспечение; баланс гумуса</w:t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Профицит без деградации почв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Инфраструктура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Сеть и состояние активов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Ввод, ремонт, аварии, выбытие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Износ; стоимость жизненного цикла</w:t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Износ &lt;40% к 2030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Территории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Люди, центры, природный капитал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Миграция, инвестиции, доступность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Время до услуги; отток молодежи</w:t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Сокращение разрыва доступности</w:t>
            </w:r>
          </w:p>
        </w:tc>
      </w:tr>
      <w:tr>
        <w:trPr>
          <w:cantSplit/>
        </w:trPr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Экология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Вода, лес, почвы, накопленный ущерб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Выбросы, сбросы, отходы, восстановление</w:t>
            </w:r>
          </w:p>
        </w:tc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Экспозиция; вторичность; ущерб</w:t>
            </w:r>
          </w:p>
        </w:tc>
        <w:tc>
          <w:tcPr>
            <w:tcW w:type="dxa" w:w="17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3"/>
              </w:rPr>
              <w:t>Снижение захоронения и ущерба</w:t>
            </w:r>
          </w:p>
        </w:tc>
      </w:tr>
    </w:tbl>
    <w:p>
      <w:pPr>
        <w:pStyle w:val="Heading2"/>
      </w:pPr>
      <w:r>
        <w:rPr>
          <w:rFonts w:ascii="Arial" w:hAnsi="Arial" w:eastAsia="Arial"/>
          <w:b/>
          <w:color w:val="2E74B5"/>
          <w:sz w:val="26"/>
        </w:rPr>
        <w:t>Шаблон паспорта отдельного показателя</w:t>
      </w:r>
    </w:p>
    <w:p>
      <w:pPr>
        <w:pStyle w:val="Caption"/>
      </w:pPr>
      <w:r>
        <w:rPr>
          <w:rFonts w:ascii="Arial" w:hAnsi="Arial" w:eastAsia="Arial"/>
        </w:rPr>
        <w:t>Таблица А2. Стандарт качества данных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400"/>
        <w:gridCol w:w="6960"/>
      </w:tblGrid>
      <w:tr>
        <w:trPr>
          <w:tblHeader w:val="true"/>
          <w:cantSplit/>
        </w:trPr>
        <w:tc>
          <w:tcPr>
            <w:tcW w:type="dxa" w:w="24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Поле</w:t>
            </w:r>
          </w:p>
        </w:tc>
        <w:tc>
          <w:tcPr>
            <w:tcW w:type="dxa" w:w="69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Обязательное содержание</w:t>
            </w:r>
          </w:p>
        </w:tc>
      </w:tr>
      <w:tr>
        <w:trPr>
          <w:cantSplit/>
        </w:trP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Название и смысл</w:t>
            </w:r>
          </w:p>
        </w:tc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Что измеряется и какое решение меняет показатель</w:t>
            </w:r>
          </w:p>
        </w:tc>
      </w:tr>
      <w:tr>
        <w:trPr>
          <w:cantSplit/>
        </w:trP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Формула</w:t>
            </w:r>
          </w:p>
        </w:tc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Числитель, знаменатель, дефлятор, сезонность, знак</w:t>
            </w:r>
          </w:p>
        </w:tc>
      </w:tr>
      <w:tr>
        <w:trPr>
          <w:cantSplit/>
        </w:trP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Единица и территория</w:t>
            </w:r>
          </w:p>
        </w:tc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Рубли текущие/постоянные, физическая единица, границы территории</w:t>
            </w:r>
          </w:p>
        </w:tc>
      </w:tr>
      <w:tr>
        <w:trPr>
          <w:cantSplit/>
        </w:trP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Источник и версия</w:t>
            </w:r>
          </w:p>
        </w:tc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Ведомство, публикация, дата загрузки, дата пересмотра</w:t>
            </w:r>
          </w:p>
        </w:tc>
      </w:tr>
      <w:tr>
        <w:trPr>
          <w:cantSplit/>
        </w:trP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Частота и лаг</w:t>
            </w:r>
          </w:p>
        </w:tc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Месяц/квартал/год; задержка публикации</w:t>
            </w:r>
          </w:p>
        </w:tc>
      </w:tr>
      <w:tr>
        <w:trPr>
          <w:cantSplit/>
        </w:trP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Разрывы ряда</w:t>
            </w:r>
          </w:p>
        </w:tc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Классификатор, методика, перепись, территория</w:t>
            </w:r>
          </w:p>
        </w:tc>
      </w:tr>
      <w:tr>
        <w:trPr>
          <w:cantSplit/>
        </w:trP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Коридор</w:t>
            </w:r>
          </w:p>
        </w:tc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Нормальный, напряженный, критический диапазоны</w:t>
            </w:r>
          </w:p>
        </w:tc>
      </w:tr>
      <w:tr>
        <w:trPr>
          <w:cantSplit/>
        </w:trPr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Владелец реакции</w:t>
            </w:r>
          </w:p>
        </w:tc>
        <w:tc>
          <w:tcPr>
            <w:tcW w:type="dxa" w:w="69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7"/>
              </w:rPr>
              <w:t>Кто обязан объяснить отклонение и предложить действие</w:t>
            </w:r>
          </w:p>
        </w:tc>
      </w:tr>
    </w:tbl>
    <w:p>
      <w:bookmarkStart w:id="22" w:name="appendix_b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Приложение Б. Методические оговорки</w:t>
      </w:r>
      <w:bookmarkEnd w:id="22"/>
    </w:p>
    <w:p>
      <w:pPr>
        <w:pStyle w:val="Caption"/>
      </w:pPr>
      <w:r>
        <w:rPr>
          <w:rFonts w:ascii="Arial" w:hAnsi="Arial" w:eastAsia="Arial"/>
        </w:rPr>
        <w:t>Таблица Б1. Где особенно важна осторожность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7460"/>
      </w:tblGrid>
      <w:tr>
        <w:trPr>
          <w:tblHeader w:val="true"/>
          <w:cantSplit/>
        </w:trPr>
        <w:tc>
          <w:tcPr>
            <w:tcW w:type="dxa" w:w="190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Область</w:t>
            </w:r>
          </w:p>
        </w:tc>
        <w:tc>
          <w:tcPr>
            <w:tcW w:type="dxa" w:w="7460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Header"/>
              <w:jc w:val="left"/>
            </w:pPr>
            <w:r>
              <w:rPr>
                <w:rFonts w:ascii="Arial" w:hAnsi="Arial" w:eastAsia="Arial"/>
                <w:b/>
                <w:color w:val="17365D"/>
                <w:sz w:val="16"/>
              </w:rPr>
              <w:t>Оговорка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Национальные счета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Росстат регулярно пересматривает ВВП и его компоненты; значения 2023–2025 годов могут отличаться от ранних публикаций. Для темпов использованы цепные индексы, а не отношение номинальных объемов.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Цены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Инфляция декабрь к декабрю отличается от среднегодовой. Ставка на конец года отличается от средней ставки за год.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Территория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Сопоставимость населения, ВРП и отраслевых рядов нарушена изменением состава территории и полноты учета. Длинные графики используются для направления тренда, а не точной декомпозиции.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Демография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Итоги переписей и административный учет могут пересматривать уровни населения. Показатели рождаемости зависят от возрастной структуры женщин.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Бедность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 2021 года граница бедности рассчитывается по новой методике; в графике отмечается методический разрыв.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Рабочая сила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Менялись возрастные рамки обследования и классификации занятости. Рекордно низкая безработица не измеряет скрытый дефицит навыков.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Основные фонды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Степень износа — бухгалтерский показатель; она не равна физической аварийности, но полезна как ранний индикатор.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Внешний сектор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После 2022 года детализация торговли и трансграничных операций ограничена; данные платежного баланса являются оценкой и пересматриваются.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Наука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Затраты на НИОКР и персонал зависят от охвата организаций; показатель доли ВВП не отражает качество и коммерциализацию.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Экология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Масса отходов доминируется добычей и классом V; для риска нужна совместная оценка класса опасности, накопления и экспозиции.</w:t>
            </w:r>
          </w:p>
        </w:tc>
      </w:tr>
      <w:tr>
        <w:trPr>
          <w:cantSplit/>
        </w:trPr>
        <w:tc>
          <w:tcPr>
            <w:tcW w:type="dxa" w:w="190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Синтетическая матрица</w:t>
            </w:r>
          </w:p>
        </w:tc>
        <w:tc>
          <w:tcPr>
            <w:tcW w:type="dxa" w:w="746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pPr>
              <w:pStyle w:val="TableText"/>
            </w:pPr>
            <w:r>
              <w:rPr>
                <w:rFonts w:ascii="Arial" w:hAnsi="Arial" w:eastAsia="Arial"/>
                <w:color w:val="243447"/>
                <w:sz w:val="15"/>
              </w:rPr>
              <w:t>Цветовой статус — экспертная классификация на основе направления запаса, потока и воспроизводства. Она не является официальным рейтингом.</w:t>
            </w:r>
          </w:p>
        </w:tc>
      </w:tr>
    </w:tbl>
    <w:p>
      <w:bookmarkStart w:id="23" w:name="sources"/>
      <w:pPr>
        <w:pStyle w:val="Heading1"/>
        <w:pBdr>
          <w:bottom w:val="single" w:sz="8" w:space="5" w:color="AAB7C4"/>
        </w:pBdr>
      </w:pPr>
      <w:r>
        <w:rPr>
          <w:rFonts w:ascii="Arial" w:hAnsi="Arial" w:eastAsia="Arial"/>
          <w:b/>
          <w:color w:val="2E74B5"/>
          <w:sz w:val="32"/>
        </w:rPr>
        <w:t>Источники</w:t>
      </w:r>
      <w:bookmarkEnd w:id="23"/>
    </w:p>
    <w:p>
      <w:pPr>
        <w:pStyle w:val="Lead"/>
      </w:pPr>
      <w:r>
        <w:rPr>
          <w:rFonts w:ascii="Arial" w:hAnsi="Arial" w:eastAsia="Arial"/>
        </w:rPr>
        <w:t>Основу составляют официальные публикации. Ссылки ведут на страницы ведомств или файлы, доступные на дату среза. Данные в тексте округлены; при расхождении приоритет имеет последняя версия первоисточника.</w:t>
      </w:r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1. </w:t>
      </w:r>
      <w:hyperlink r:id="rId10">
        <w:r>
          <w:rPr>
            <w:color w:val="2E74B5"/>
            <w:u w:val="single"/>
            <w:rFonts w:ascii="Arial" w:hAnsi="Arial" w:eastAsia="Arial"/>
          </w:rPr>
          <w:t>Росстат. Национальные счета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2. </w:t>
      </w:r>
      <w:hyperlink r:id="rId24">
        <w:r>
          <w:rPr>
            <w:color w:val="2E74B5"/>
            <w:u w:val="single"/>
            <w:rFonts w:ascii="Arial" w:hAnsi="Arial" w:eastAsia="Arial"/>
          </w:rPr>
          <w:t>Росстат. «Понятная статистика»: ВВП и счета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3. </w:t>
      </w:r>
      <w:hyperlink r:id="rId25">
        <w:r>
          <w:rPr>
            <w:color w:val="2E74B5"/>
            <w:u w:val="single"/>
            <w:rFonts w:ascii="Arial" w:hAnsi="Arial" w:eastAsia="Arial"/>
          </w:rPr>
          <w:t>Росстат. Российский статистический ежегодник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4. </w:t>
      </w:r>
      <w:hyperlink r:id="rId26">
        <w:r>
          <w:rPr>
            <w:color w:val="2E74B5"/>
            <w:u w:val="single"/>
            <w:rFonts w:ascii="Arial" w:hAnsi="Arial" w:eastAsia="Arial"/>
          </w:rPr>
          <w:t>Росстат. «Россия в цифрах — 2025»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5. </w:t>
      </w:r>
      <w:hyperlink r:id="rId27">
        <w:r>
          <w:rPr>
            <w:color w:val="2E74B5"/>
            <w:u w:val="single"/>
            <w:rFonts w:ascii="Arial" w:hAnsi="Arial" w:eastAsia="Arial"/>
          </w:rPr>
          <w:t>Росстат. Цены и инфляция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6. </w:t>
      </w:r>
      <w:hyperlink r:id="rId14">
        <w:r>
          <w:rPr>
            <w:color w:val="2E74B5"/>
            <w:u w:val="single"/>
            <w:rFonts w:ascii="Arial" w:hAnsi="Arial" w:eastAsia="Arial"/>
          </w:rPr>
          <w:t>Росстат. Демография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7. </w:t>
      </w:r>
      <w:hyperlink r:id="rId28">
        <w:r>
          <w:rPr>
            <w:color w:val="2E74B5"/>
            <w:u w:val="single"/>
            <w:rFonts w:ascii="Arial" w:hAnsi="Arial" w:eastAsia="Arial"/>
          </w:rPr>
          <w:t>Росстат. Историческая численность населения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8. </w:t>
      </w:r>
      <w:hyperlink r:id="rId29">
        <w:r>
          <w:rPr>
            <w:color w:val="2E74B5"/>
            <w:u w:val="single"/>
            <w:rFonts w:ascii="Arial" w:hAnsi="Arial" w:eastAsia="Arial"/>
          </w:rPr>
          <w:t>Росстат. Естественное движение населения, 2024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9. </w:t>
      </w:r>
      <w:hyperlink r:id="rId30">
        <w:r>
          <w:rPr>
            <w:color w:val="2E74B5"/>
            <w:u w:val="single"/>
            <w:rFonts w:ascii="Arial" w:hAnsi="Arial" w:eastAsia="Arial"/>
          </w:rPr>
          <w:t>Росстат. Бедность, предварительная оценка 2025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10. </w:t>
      </w:r>
      <w:hyperlink r:id="rId31">
        <w:r>
          <w:rPr>
            <w:color w:val="2E74B5"/>
            <w:u w:val="single"/>
            <w:rFonts w:ascii="Arial" w:hAnsi="Arial" w:eastAsia="Arial"/>
          </w:rPr>
          <w:t>Росстат. Исторический ряд бедности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11. </w:t>
      </w:r>
      <w:hyperlink r:id="rId32">
        <w:r>
          <w:rPr>
            <w:color w:val="2E74B5"/>
            <w:u w:val="single"/>
            <w:rFonts w:ascii="Arial" w:hAnsi="Arial" w:eastAsia="Arial"/>
          </w:rPr>
          <w:t>Банк России. Платежный баланс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12. </w:t>
      </w:r>
      <w:hyperlink r:id="rId33">
        <w:r>
          <w:rPr>
            <w:color w:val="2E74B5"/>
            <w:u w:val="single"/>
            <w:rFonts w:ascii="Arial" w:hAnsi="Arial" w:eastAsia="Arial"/>
          </w:rPr>
          <w:t>Банк России. Платежный баланс России, 2025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13. </w:t>
      </w:r>
      <w:hyperlink r:id="rId34">
        <w:r>
          <w:rPr>
            <w:color w:val="2E74B5"/>
            <w:u w:val="single"/>
            <w:rFonts w:ascii="Arial" w:hAnsi="Arial" w:eastAsia="Arial"/>
          </w:rPr>
          <w:t>Банк России. Международные резервы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14. </w:t>
      </w:r>
      <w:hyperlink r:id="rId35">
        <w:r>
          <w:rPr>
            <w:color w:val="2E74B5"/>
            <w:u w:val="single"/>
            <w:rFonts w:ascii="Arial" w:hAnsi="Arial" w:eastAsia="Arial"/>
          </w:rPr>
          <w:t>Банк России. Внешний долг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15. </w:t>
      </w:r>
      <w:hyperlink r:id="rId11">
        <w:r>
          <w:rPr>
            <w:color w:val="2E74B5"/>
            <w:u w:val="single"/>
            <w:rFonts w:ascii="Arial" w:hAnsi="Arial" w:eastAsia="Arial"/>
          </w:rPr>
          <w:t>Банк России. Финансовые счета и балансы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16. </w:t>
      </w:r>
      <w:hyperlink r:id="rId36">
        <w:r>
          <w:rPr>
            <w:color w:val="2E74B5"/>
            <w:u w:val="single"/>
            <w:rFonts w:ascii="Arial" w:hAnsi="Arial" w:eastAsia="Arial"/>
          </w:rPr>
          <w:t>Банк России. Макроэкономический обзор, январь 2026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17. </w:t>
      </w:r>
      <w:hyperlink r:id="rId37">
        <w:r>
          <w:rPr>
            <w:color w:val="2E74B5"/>
            <w:u w:val="single"/>
            <w:rFonts w:ascii="Arial" w:hAnsi="Arial" w:eastAsia="Arial"/>
          </w:rPr>
          <w:t>Минфин России. Предварительное исполнение федерального бюджета за 2025 год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18. </w:t>
      </w:r>
      <w:hyperlink r:id="rId38">
        <w:r>
          <w:rPr>
            <w:color w:val="2E74B5"/>
            <w:u w:val="single"/>
            <w:rFonts w:ascii="Arial" w:hAnsi="Arial" w:eastAsia="Arial"/>
          </w:rPr>
          <w:t>Минфин России. Фонд национального благосостояния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19. </w:t>
      </w:r>
      <w:hyperlink r:id="rId39">
        <w:r>
          <w:rPr>
            <w:color w:val="2E74B5"/>
            <w:u w:val="single"/>
            <w:rFonts w:ascii="Arial" w:hAnsi="Arial" w:eastAsia="Arial"/>
          </w:rPr>
          <w:t>Минфин России. Государственный долг и долговая политика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20. </w:t>
      </w:r>
      <w:hyperlink r:id="rId40">
        <w:r>
          <w:rPr>
            <w:color w:val="2E74B5"/>
            <w:u w:val="single"/>
            <w:rFonts w:ascii="Arial" w:hAnsi="Arial" w:eastAsia="Arial"/>
          </w:rPr>
          <w:t>Минфин России. Бюджетный прогноз до 2042 года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21. </w:t>
      </w:r>
      <w:hyperlink r:id="rId41">
        <w:r>
          <w:rPr>
            <w:color w:val="2E74B5"/>
            <w:u w:val="single"/>
            <w:rFonts w:ascii="Arial" w:hAnsi="Arial" w:eastAsia="Arial"/>
          </w:rPr>
          <w:t>Росстат. Наука, инновации и технологии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22. </w:t>
      </w:r>
      <w:hyperlink r:id="rId42">
        <w:r>
          <w:rPr>
            <w:color w:val="2E74B5"/>
            <w:u w:val="single"/>
            <w:rFonts w:ascii="Arial" w:hAnsi="Arial" w:eastAsia="Arial"/>
          </w:rPr>
          <w:t>ИСИЭЗ НИУ ВШЭ. Затраты на НИОКР в 2024 году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23. </w:t>
      </w:r>
      <w:hyperlink r:id="rId43">
        <w:r>
          <w:rPr>
            <w:color w:val="2E74B5"/>
            <w:u w:val="single"/>
            <w:rFonts w:ascii="Arial" w:hAnsi="Arial" w:eastAsia="Arial"/>
          </w:rPr>
          <w:t>ИСИЭЗ НИУ ВШЭ. Персонал и исследователи, 2024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24. </w:t>
      </w:r>
      <w:hyperlink r:id="rId44">
        <w:r>
          <w:rPr>
            <w:color w:val="2E74B5"/>
            <w:u w:val="single"/>
            <w:rFonts w:ascii="Arial" w:hAnsi="Arial" w:eastAsia="Arial"/>
          </w:rPr>
          <w:t>Росстат. Исторический ряд персонала НИОКР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25. </w:t>
      </w:r>
      <w:hyperlink r:id="rId45">
        <w:r>
          <w:rPr>
            <w:color w:val="2E74B5"/>
            <w:u w:val="single"/>
            <w:rFonts w:ascii="Arial" w:hAnsi="Arial" w:eastAsia="Arial"/>
          </w:rPr>
          <w:t>Роспатент. Заявки на изобретения в 2024 году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26. </w:t>
      </w:r>
      <w:hyperlink r:id="rId46">
        <w:r>
          <w:rPr>
            <w:color w:val="2E74B5"/>
            <w:u w:val="single"/>
            <w:rFonts w:ascii="Arial" w:hAnsi="Arial" w:eastAsia="Arial"/>
          </w:rPr>
          <w:t>Росстат. Основные фонды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27. </w:t>
      </w:r>
      <w:hyperlink r:id="rId20">
        <w:r>
          <w:rPr>
            <w:color w:val="2E74B5"/>
            <w:u w:val="single"/>
            <w:rFonts w:ascii="Arial" w:hAnsi="Arial" w:eastAsia="Arial"/>
          </w:rPr>
          <w:t>Росстат. Жилищное строительство в 2024 году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28. </w:t>
      </w:r>
      <w:hyperlink r:id="rId18">
        <w:r>
          <w:rPr>
            <w:color w:val="2E74B5"/>
            <w:u w:val="single"/>
            <w:rFonts w:ascii="Arial" w:hAnsi="Arial" w:eastAsia="Arial"/>
          </w:rPr>
          <w:t>Минэнерго России. Итоги деятельности за 2025 год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29. </w:t>
      </w:r>
      <w:hyperlink r:id="rId19">
        <w:r>
          <w:rPr>
            <w:color w:val="2E74B5"/>
            <w:u w:val="single"/>
            <w:rFonts w:ascii="Arial" w:hAnsi="Arial" w:eastAsia="Arial"/>
          </w:rPr>
          <w:t>Росстат. Исторический ряд урожая зерна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30. </w:t>
      </w:r>
      <w:hyperlink r:id="rId21">
        <w:r>
          <w:rPr>
            <w:color w:val="2E74B5"/>
            <w:u w:val="single"/>
            <w:rFonts w:ascii="Arial" w:hAnsi="Arial" w:eastAsia="Arial"/>
          </w:rPr>
          <w:t>Минприроды России. Государственный доклад о состоянии окружающей среды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31. </w:t>
      </w:r>
      <w:hyperlink r:id="rId47">
        <w:r>
          <w:rPr>
            <w:color w:val="2E74B5"/>
            <w:u w:val="single"/>
            <w:rFonts w:ascii="Arial" w:hAnsi="Arial" w:eastAsia="Arial"/>
          </w:rPr>
          <w:t>Росстат. Охрана окружающей среды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32. </w:t>
      </w:r>
      <w:hyperlink r:id="rId48">
        <w:r>
          <w:rPr>
            <w:color w:val="2E74B5"/>
            <w:u w:val="single"/>
            <w:rFonts w:ascii="Arial" w:hAnsi="Arial" w:eastAsia="Arial"/>
          </w:rPr>
          <w:t>Минтранс России. Реализация Транспортной стратегии</w:t>
        </w:r>
      </w:hyperlink>
    </w:p>
    <w:p>
      <w:pPr>
        <w:spacing w:after="80"/>
        <w:ind w:left="360" w:hanging="360"/>
      </w:pPr>
      <w:r>
        <w:rPr>
          <w:rFonts w:ascii="Arial" w:hAnsi="Arial" w:eastAsia="Arial"/>
          <w:b/>
          <w:color w:val="17365D"/>
          <w:sz w:val="17"/>
        </w:rPr>
        <w:t xml:space="preserve">33. </w:t>
      </w:r>
      <w:hyperlink r:id="rId23">
        <w:r>
          <w:rPr>
            <w:color w:val="2E74B5"/>
            <w:u w:val="single"/>
            <w:rFonts w:ascii="Arial" w:hAnsi="Arial" w:eastAsia="Arial"/>
          </w:rPr>
          <w:t>Президент России. Указ № 309 о национальных целях</w:t>
        </w:r>
      </w:hyperlink>
    </w:p>
    <w:p>
      <w:pPr>
        <w:pStyle w:val="Small"/>
        <w:jc w:val="center"/>
      </w:pPr>
      <w:r>
        <w:rPr>
          <w:rFonts w:ascii="Arial" w:hAnsi="Arial" w:eastAsia="Arial"/>
        </w:rPr>
        <w:t>Конец документа</w:t>
      </w: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suff w:val="tab"/>
      <w:pPr>
        <w:tabs>
          <w:tab w:val="num" w:pos="720"/>
        </w:tabs>
        <w:ind w:left="720" w:hanging="360"/>
        <w:spacing w:after="160" w:line="280" w:lineRule="auto"/>
      </w:pPr>
      <w:rPr>
        <w:rFonts w:ascii="Arial" w:hAnsi="Arial" w:eastAsia="Arial"/>
      </w:rPr>
    </w:lvl>
  </w:abstractNum>
  <w:num w:numId="10">
    <w:abstractNumId w:val="9"/>
  </w:num>
  <w:abstractNum w:abstractNumId="10">
    <w:multiLevelType w:val="singleLevel"/>
    <w:lvl w:ilvl="0">
      <w:start w:val="1"/>
      <w:numFmt w:val="decimal"/>
      <w:lvlText w:val="%1."/>
      <w:suff w:val="tab"/>
      <w:pPr>
        <w:tabs>
          <w:tab w:val="num" w:pos="720"/>
        </w:tabs>
        <w:ind w:left="720" w:hanging="360"/>
        <w:spacing w:after="160" w:line="280" w:lineRule="auto"/>
      </w:pPr>
      <w:rPr>
        <w:rFonts w:ascii="Arial" w:hAnsi="Arial" w:eastAsia="Arial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64" w:lineRule="auto"/>
    </w:pPr>
    <w:rPr>
      <w:rFonts w:ascii="Arial" w:hAnsi="Arial" w:eastAsia="Arial"/>
      <w:color w:val="24344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40" w:after="12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00" w:after="10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160" w:after="8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Arial" w:hAnsi="Arial" w:eastAsia="Arial"/>
      <w:b/>
      <w:color w:val="17365D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160"/>
    </w:pPr>
    <w:rPr>
      <w:rFonts w:asciiTheme="majorHAnsi" w:eastAsiaTheme="majorEastAsia" w:hAnsiTheme="majorHAnsi" w:cstheme="majorBidi" w:ascii="Arial" w:hAnsi="Arial" w:eastAsia="Arial"/>
      <w:b w:val="0"/>
      <w:i/>
      <w:iCs/>
      <w:color w:val="1F4D78"/>
      <w:spacing w:val="15"/>
      <w:sz w:val="3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keepNext/>
      <w:spacing w:line="240" w:lineRule="auto" w:before="160" w:after="80"/>
    </w:pPr>
    <w:rPr>
      <w:rFonts w:ascii="Arial" w:hAnsi="Arial" w:eastAsia="Arial"/>
      <w:b/>
      <w:bCs/>
      <w:color w:val="1F4D78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ource">
    <w:name w:val="Source"/>
    <w:pPr>
      <w:spacing w:before="80" w:after="80"/>
    </w:pPr>
    <w:rPr>
      <w:rFonts w:ascii="Arial" w:hAnsi="Arial" w:eastAsia="Arial"/>
      <w:i/>
      <w:color w:val="5B6573"/>
      <w:sz w:val="17"/>
    </w:rPr>
  </w:style>
  <w:style w:type="paragraph" w:customStyle="1" w:styleId="Kicker">
    <w:name w:val="Kicker"/>
    <w:pPr>
      <w:keepNext/>
      <w:spacing w:before="0" w:after="160"/>
    </w:pPr>
    <w:rPr>
      <w:rFonts w:ascii="Arial" w:hAnsi="Arial" w:eastAsia="Arial"/>
      <w:b/>
      <w:color w:val="C9A227"/>
      <w:sz w:val="18"/>
    </w:rPr>
  </w:style>
  <w:style w:type="paragraph" w:customStyle="1" w:styleId="Lead">
    <w:name w:val="Lead"/>
    <w:pPr>
      <w:spacing w:before="0" w:after="200" w:line="276" w:lineRule="auto"/>
    </w:pPr>
    <w:rPr>
      <w:rFonts w:ascii="Arial" w:hAnsi="Arial" w:eastAsia="Arial"/>
      <w:color w:val="1F4D78"/>
      <w:sz w:val="25"/>
    </w:rPr>
  </w:style>
  <w:style w:type="paragraph" w:customStyle="1" w:styleId="Callout">
    <w:name w:val="Callout"/>
    <w:pPr>
      <w:spacing w:before="140" w:after="180" w:line="269" w:lineRule="auto"/>
      <w:ind w:left="230" w:right="173"/>
    </w:pPr>
    <w:rPr>
      <w:rFonts w:ascii="Arial" w:hAnsi="Arial" w:eastAsia="Arial"/>
      <w:b/>
      <w:color w:val="17365D"/>
      <w:sz w:val="22"/>
    </w:rPr>
  </w:style>
  <w:style w:type="paragraph" w:customStyle="1" w:styleId="Small">
    <w:name w:val="Small"/>
    <w:pPr>
      <w:spacing w:after="80"/>
    </w:pPr>
    <w:rPr>
      <w:rFonts w:ascii="Arial" w:hAnsi="Arial" w:eastAsia="Arial"/>
      <w:color w:val="5B6573"/>
      <w:sz w:val="18"/>
    </w:rPr>
  </w:style>
  <w:style w:type="paragraph" w:customStyle="1" w:styleId="TableText">
    <w:name w:val="Table Text"/>
    <w:pPr>
      <w:spacing w:before="0" w:after="0" w:line="240" w:lineRule="auto"/>
    </w:pPr>
    <w:rPr>
      <w:rFonts w:ascii="Arial" w:hAnsi="Arial" w:eastAsia="Arial"/>
      <w:color w:val="243447"/>
      <w:sz w:val="17"/>
    </w:rPr>
  </w:style>
  <w:style w:type="paragraph" w:customStyle="1" w:styleId="TableHeader">
    <w:name w:val="Table Header"/>
    <w:pPr>
      <w:spacing w:before="0" w:after="0" w:line="240" w:lineRule="auto"/>
    </w:pPr>
    <w:rPr>
      <w:rFonts w:ascii="Arial" w:hAnsi="Arial" w:eastAsia="Arial"/>
      <w:b/>
      <w:color w:val="17365D"/>
      <w:sz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rosstat.gov.ru/statistics/accounts" TargetMode="External"/><Relationship Id="rId11" Type="http://schemas.openxmlformats.org/officeDocument/2006/relationships/hyperlink" Target="https://www.cbr.ru/statistics/macro_itm/fafbs/financial_accounts/" TargetMode="External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hyperlink" Target="https://rosstat.gov.ru/folder/12781" TargetMode="External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image" Target="media/image6.png"/><Relationship Id="rId18" Type="http://schemas.openxmlformats.org/officeDocument/2006/relationships/hyperlink" Target="https://minenergo.gov.ru/upload/iblock/24f/w5di5x0ijq6p6wjy4haccvptagofymwr/Prezentatsia_Kollegia_Minenergo.pdf" TargetMode="External"/><Relationship Id="rId19" Type="http://schemas.openxmlformats.org/officeDocument/2006/relationships/hyperlink" Target="https://rosstat.gov.ru/bgd/regl/b11_38/IssWWW.exe/Stg/04-07.htm" TargetMode="External"/><Relationship Id="rId20" Type="http://schemas.openxmlformats.org/officeDocument/2006/relationships/hyperlink" Target="https://rosstat.gov.ru/storage/mediabank/jil_stroi_2024.doc" TargetMode="External"/><Relationship Id="rId21" Type="http://schemas.openxmlformats.org/officeDocument/2006/relationships/hyperlink" Target="https://gosdoklad.mnr.gov.ru/" TargetMode="External"/><Relationship Id="rId22" Type="http://schemas.openxmlformats.org/officeDocument/2006/relationships/image" Target="media/image7.png"/><Relationship Id="rId23" Type="http://schemas.openxmlformats.org/officeDocument/2006/relationships/hyperlink" Target="https://www.kremlin.ru/acts/bank/50542" TargetMode="External"/><Relationship Id="rId24" Type="http://schemas.openxmlformats.org/officeDocument/2006/relationships/hyperlink" Target="https://ps.rosstat.gov.ru/accounts" TargetMode="External"/><Relationship Id="rId25" Type="http://schemas.openxmlformats.org/officeDocument/2006/relationships/hyperlink" Target="https://rosstat.gov.ru/folder/210/document/12994" TargetMode="External"/><Relationship Id="rId26" Type="http://schemas.openxmlformats.org/officeDocument/2006/relationships/hyperlink" Target="https://rosstat.gov.ru/storage/mediabank/Rossia_2025.pdf" TargetMode="External"/><Relationship Id="rId27" Type="http://schemas.openxmlformats.org/officeDocument/2006/relationships/hyperlink" Target="https://rosstat.gov.ru/statistics/price" TargetMode="External"/><Relationship Id="rId28" Type="http://schemas.openxmlformats.org/officeDocument/2006/relationships/hyperlink" Target="https://rosstat.gov.ru/bgd/regl/b05_13/IssWWW.exe/Stg/04-02.htm" TargetMode="External"/><Relationship Id="rId29" Type="http://schemas.openxmlformats.org/officeDocument/2006/relationships/hyperlink" Target="https://rosstat.gov.ru/folder/313/document/255130" TargetMode="External"/><Relationship Id="rId30" Type="http://schemas.openxmlformats.org/officeDocument/2006/relationships/hyperlink" Target="https://rosstat.gov.ru/storage/mediabank/33_13-03-2026.html" TargetMode="External"/><Relationship Id="rId31" Type="http://schemas.openxmlformats.org/officeDocument/2006/relationships/hyperlink" Target="https://rosstat.gov.ru/bgd/regl/b11_14p/IssWWW.exe/Stg/d01/05-11.htm" TargetMode="External"/><Relationship Id="rId32" Type="http://schemas.openxmlformats.org/officeDocument/2006/relationships/hyperlink" Target="https://www.cbr.ru/statistics/macro_itm/external_sector/pb/p_balance/" TargetMode="External"/><Relationship Id="rId33" Type="http://schemas.openxmlformats.org/officeDocument/2006/relationships/hyperlink" Target="https://cbr.ru/Collection/Collection/File/62277/Balance_of_Payments_2026-2_27.pdf" TargetMode="External"/><Relationship Id="rId34" Type="http://schemas.openxmlformats.org/officeDocument/2006/relationships/hyperlink" Target="https://www.cbr.ru/statistics/macro_itm/external_sector/ir/" TargetMode="External"/><Relationship Id="rId35" Type="http://schemas.openxmlformats.org/officeDocument/2006/relationships/hyperlink" Target="https://www.cbr.ru/statistics/macro_itm/external_sector/ed/" TargetMode="External"/><Relationship Id="rId36" Type="http://schemas.openxmlformats.org/officeDocument/2006/relationships/hyperlink" Target="https://www.cbr.ru/Queries/XsltBlock/File/87500/-1/2601" TargetMode="External"/><Relationship Id="rId37" Type="http://schemas.openxmlformats.org/officeDocument/2006/relationships/hyperlink" Target="https://minfin.gov.ru/ru/press-center/?id_4=40166-predvaritelnaya_otsenka_ispolneniya_federalnogo_byudzheta_za_2025_god" TargetMode="External"/><Relationship Id="rId38" Type="http://schemas.openxmlformats.org/officeDocument/2006/relationships/hyperlink" Target="https://minfin.gov.ru/ru/press-center/?id_4=40169-informatsionnoe_soobshchenie_o_rezultatakh_razmeshcheniya_sredstv_fonda_natsionalnogo_blagosostoyaniya" TargetMode="External"/><Relationship Id="rId39" Type="http://schemas.openxmlformats.org/officeDocument/2006/relationships/hyperlink" Target="https://minfin.gov.ru/ru/press-center/?id_4=40098" TargetMode="External"/><Relationship Id="rId40" Type="http://schemas.openxmlformats.org/officeDocument/2006/relationships/hyperlink" Target="https://minfin.gov.ru/ru/press-center/?id_4=40129-utverzhden_byudzhetnyi_prognoz_do_2042_goda" TargetMode="External"/><Relationship Id="rId41" Type="http://schemas.openxmlformats.org/officeDocument/2006/relationships/hyperlink" Target="https://rosstat.gov.ru/statistics/science" TargetMode="External"/><Relationship Id="rId42" Type="http://schemas.openxmlformats.org/officeDocument/2006/relationships/hyperlink" Target="https://issek.hse.ru/news/1105778603.html" TargetMode="External"/><Relationship Id="rId43" Type="http://schemas.openxmlformats.org/officeDocument/2006/relationships/hyperlink" Target="https://issek.hse.ru/news/1082485052.html" TargetMode="External"/><Relationship Id="rId44" Type="http://schemas.openxmlformats.org/officeDocument/2006/relationships/hyperlink" Target="https://rosstat.gov.ru/bgd/regl/B01_57/IssWWW.exe/Stg/d010/i010010r.htm" TargetMode="External"/><Relationship Id="rId45" Type="http://schemas.openxmlformats.org/officeDocument/2006/relationships/hyperlink" Target="https://rospatent.gov.ru/ru/news/20-02-2025-kolichestvo-rossiyskih-zayavok-na-registraciyu-izobreteniy-vyroslo-na-9-4" TargetMode="External"/><Relationship Id="rId46" Type="http://schemas.openxmlformats.org/officeDocument/2006/relationships/hyperlink" Target="https://rosstat.gov.ru/folder/14304" TargetMode="External"/><Relationship Id="rId47" Type="http://schemas.openxmlformats.org/officeDocument/2006/relationships/hyperlink" Target="https://rosstat.gov.ru/compendium/document/13295" TargetMode="External"/><Relationship Id="rId48" Type="http://schemas.openxmlformats.org/officeDocument/2006/relationships/hyperlink" Target="https://www.mintrans.gov.ru/file/562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национальных балансов России за 30 лет (1995–2025)</dc:title>
  <dc:subject>Системная диагностика запасов, потоков, воспроизводства и устойчивости</dc:subject>
  <dc:creator>OpenAI — аналитическая подготовка для Соколова Сергея Леонидовича</dc:creator>
  <cp:keywords>Россия; национальные балансы; демография; макроэкономика; ресурсы; инфраструктура; 1995–2025</cp:keywords>
  <dc:description>Рабочий стратегический документ. Версия 1.0 от 27.08.2026.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