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72"/>
        </w:rPr>
        <w:t>РОССИЯ</w:t>
      </w:r>
    </w:p>
    <w:p>
      <w:pPr>
        <w:jc w:val="center"/>
      </w:pPr>
      <w:r>
        <w:rPr>
          <w:b/>
          <w:color w:val="1A1A1A"/>
          <w:sz w:val="38"/>
        </w:rPr>
        <w:t>АНАЛИЗ БАЛАНСА ГОСКОРПОРАЦИЙ ЗА 30 ЛЕТ</w:t>
      </w:r>
    </w:p>
    <w:p>
      <w:pPr>
        <w:jc w:val="center"/>
      </w:pPr>
      <w:r>
        <w:rPr>
          <w:b/>
          <w:color w:val="B08D3C"/>
          <w:sz w:val="28"/>
        </w:rPr>
        <w:t>1996–2025 • Выходы в Новый Уклад</w:t>
      </w:r>
    </w:p>
    <w:p>
      <w:pPr>
        <w:spacing w:before="320"/>
        <w:jc w:val="center"/>
      </w:pPr>
      <w:r>
        <w:rPr>
          <w:i/>
          <w:color w:val="5B6573"/>
          <w:sz w:val="24"/>
        </w:rPr>
        <w:t>От имущественной консолидации — к системе управляемого воспроизводства капитала, технологий, кадров и территорий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28923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lance_index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8923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1. Исполнительное резюме</w:t>
      </w:r>
    </w:p>
    <w:p>
      <w:pPr>
        <w:spacing w:after="140"/>
      </w:pPr>
      <w:r>
        <w:t>За 30-летний горизонт государственный корпоративный сектор России прошёл путь от фрагментированного управления стратегическими активами к крупным интегрированным контурам, способным одновременно решать производственные, инфраструктурные, оборонные, финансовые и технологические задачи.</w:t>
      </w:r>
    </w:p>
    <w:p>
      <w:pPr>
        <w:spacing w:after="140"/>
      </w:pPr>
      <w:r>
        <w:t>Форма «государственная корпорация» была закреплена в законодательстве в 1999 году. Основная волна институционального формирования пришлась на 2003–2009 годы, а последующий период характеризовался консолидацией активов, импортозамещением, ростом инвестиционной роли и переходом к технологическому суверенитету.</w:t>
      </w:r>
    </w:p>
    <w:p>
      <w:pPr>
        <w:spacing w:after="140"/>
      </w:pPr>
      <w:r>
        <w:t>Ключевой вывод: дальнейший рост эффекта требует не увеличения числа госкорпораций, а перехода от изолированных корпоративных стратегий к единому межкорпоративному балансу страны: ресурсы → технологии → кадры → мощности → инфраструктура → рынки → социальный результат → экологический эффект → обратная связь.</w:t>
      </w:r>
    </w:p>
    <w:p>
      <w:pPr>
        <w:pStyle w:val="Heading1"/>
      </w:pPr>
      <w:r>
        <w:t>2. Периодизация 1996–2025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Период</w:t>
            </w:r>
          </w:p>
        </w:tc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Состояние контура</w:t>
            </w:r>
          </w:p>
        </w:tc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Главный результат</w:t>
            </w:r>
          </w:p>
        </w:tc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Главный дисбаланс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1996–2005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Подготовительный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Правовая база, сохранение критических активов, первые специализированные институты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Разрыв между государственными задачами, активами и инвестиционным циклом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2006–2014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Консолидация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Создание крупных интегрированных корпораций, сбор отраслевых цепочек, восстановление управляемости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Сильная вертикаль при слабой межотраслевой синхронизации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2015–2021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Технологическая адаптация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Импортозамещение, цифровизация, рост проектного финансирования и новых бизнесов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Недостаточная скорость трансфера технологий и гражданской диверсификации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2022–2025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Мобилизационно-инвестиционный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Ускорение выпуска, локализация критических цепочек, резкий рост капитальных программ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Высокая нагрузка на кадры, оборудование, оборотный капитал и систему приоритетов</w:t>
            </w:r>
          </w:p>
        </w:tc>
      </w:tr>
    </w:tbl>
    <w:p>
      <w:pPr>
        <w:pStyle w:val="Heading1"/>
      </w:pPr>
      <w:r>
        <w:t>3. Фактические якоря текущего состояния</w:t>
      </w:r>
    </w:p>
    <w:p>
      <w:pPr>
        <w:pStyle w:val="ListBullet"/>
        <w:spacing w:after="60"/>
      </w:pPr>
      <w:r>
        <w:t>Ростех: консолидированная выручка за 2024 год — 3,61 трлн руб.; чистая прибыль — 131,5 млрд руб.; инвестиции — 676 млрд руб.; гражданская выручка — около 1,1 трлн руб., доля гражданской продукции — 30,7%. [1]</w:t>
      </w:r>
    </w:p>
    <w:p>
      <w:pPr>
        <w:pStyle w:val="ListBullet"/>
        <w:spacing w:after="60"/>
      </w:pPr>
      <w:r>
        <w:t>Росатом: выручка по МСФО за 2024 год — 3 087,7 млрд руб.; скорректированный свободный денежный поток — 445,4 млрд руб.; нематериальные активы — 349,5 млрд руб. [2]</w:t>
      </w:r>
    </w:p>
    <w:p>
      <w:pPr>
        <w:pStyle w:val="ListBullet"/>
        <w:spacing w:after="60"/>
      </w:pPr>
      <w:r>
        <w:t>Росатом обеспечивает около 19% энергобаланса России; в 2024 году выработка АЭС составила 215,5 млрд кВт·ч. [2][3]</w:t>
      </w:r>
    </w:p>
    <w:p>
      <w:pPr>
        <w:pStyle w:val="ListBullet"/>
        <w:spacing w:after="60"/>
      </w:pPr>
      <w:r>
        <w:t>ВЭБ.РФ продолжает выполнять функцию государственной корпорации развития и публикует годовую и эмитентскую отчетность; для национального баланса важен его эффект как мультипликатора проектов, а не только собственная прибыль. [4]</w:t>
      </w:r>
    </w:p>
    <w:p>
      <w:pPr>
        <w:pStyle w:val="ListBullet"/>
        <w:spacing w:after="60"/>
      </w:pPr>
      <w:r>
        <w:t>Сектор неоднороден: в него входят производственно-технологические корпорации, институты развития, страховые/ликвидационные институты и государственные компании инфраструктурного типа; их нельзя корректно сравнивать только по прибыли.</w:t>
      </w:r>
    </w:p>
    <w:p>
      <w:pPr>
        <w:pStyle w:val="Heading1"/>
      </w:pPr>
      <w:r>
        <w:t>4. Что именно следует считать «балансом госкорпораций»</w:t>
      </w:r>
    </w:p>
    <w:p>
      <w:r>
        <w:t>Предлагается перейти от бухгалтерского взгляда к 9-контурному государственному балансу:</w:t>
      </w:r>
    </w:p>
    <w:p>
      <w:pPr>
        <w:pStyle w:val="ListBullet"/>
      </w:pPr>
      <w:r>
        <w:rPr>
          <w:b/>
        </w:rPr>
        <w:t xml:space="preserve">1. Финансовый — </w:t>
      </w:r>
      <w:r>
        <w:t>активы, долг, денежный поток, дивиденды, бюджетная поддержка, стоимость капитала.</w:t>
      </w:r>
    </w:p>
    <w:p>
      <w:pPr>
        <w:pStyle w:val="ListBullet"/>
      </w:pPr>
      <w:r>
        <w:rPr>
          <w:b/>
        </w:rPr>
        <w:t xml:space="preserve">2. Производственный — </w:t>
      </w:r>
      <w:r>
        <w:t>мощности, загрузка, производительность, критическое оборудование, ремонтный цикл.</w:t>
      </w:r>
    </w:p>
    <w:p>
      <w:pPr>
        <w:pStyle w:val="ListBullet"/>
      </w:pPr>
      <w:r>
        <w:rPr>
          <w:b/>
        </w:rPr>
        <w:t xml:space="preserve">3. Технологический — </w:t>
      </w:r>
      <w:r>
        <w:t>НИОКР, патенты, НМА, уровень локализации, технологическая готовность, импортозависимость.</w:t>
      </w:r>
    </w:p>
    <w:p>
      <w:pPr>
        <w:pStyle w:val="ListBullet"/>
      </w:pPr>
      <w:r>
        <w:rPr>
          <w:b/>
        </w:rPr>
        <w:t xml:space="preserve">4. Кадровый — </w:t>
      </w:r>
      <w:r>
        <w:t>численность, дефицит компетенций, инженерные школы, производительность, возрастная структура.</w:t>
      </w:r>
    </w:p>
    <w:p>
      <w:pPr>
        <w:pStyle w:val="ListBullet"/>
      </w:pPr>
      <w:r>
        <w:rPr>
          <w:b/>
        </w:rPr>
        <w:t xml:space="preserve">5. Материальный — </w:t>
      </w:r>
      <w:r>
        <w:t>сырье, редкие и редкоземельные материалы, керамика, синтетические кристаллы, композиты, полупроводниковые материалы.</w:t>
      </w:r>
    </w:p>
    <w:p>
      <w:pPr>
        <w:pStyle w:val="ListBullet"/>
      </w:pPr>
      <w:r>
        <w:rPr>
          <w:b/>
        </w:rPr>
        <w:t xml:space="preserve">6. Инфраструктурный — </w:t>
      </w:r>
      <w:r>
        <w:t>энергетика, транспорт, связь, вычисления, логистика, жилье и территории присутствия.</w:t>
      </w:r>
    </w:p>
    <w:p>
      <w:pPr>
        <w:pStyle w:val="ListBullet"/>
      </w:pPr>
      <w:r>
        <w:rPr>
          <w:b/>
        </w:rPr>
        <w:t xml:space="preserve">7. Территориальный — </w:t>
      </w:r>
      <w:r>
        <w:t>эффект на регионы, моногорода, агломерации, Сибирь, Дальний Восток, Арктику.</w:t>
      </w:r>
    </w:p>
    <w:p>
      <w:pPr>
        <w:pStyle w:val="ListBullet"/>
      </w:pPr>
      <w:r>
        <w:rPr>
          <w:b/>
        </w:rPr>
        <w:t xml:space="preserve">8. Экологический — </w:t>
      </w:r>
      <w:r>
        <w:t>ресурсоэффективность, отходы, вода, воздух, почвы, восстановление экосистем.</w:t>
      </w:r>
    </w:p>
    <w:p>
      <w:pPr>
        <w:pStyle w:val="ListBullet"/>
      </w:pPr>
      <w:r>
        <w:rPr>
          <w:b/>
        </w:rPr>
        <w:t xml:space="preserve">9. Смысловой/стратегический — </w:t>
      </w:r>
      <w:r>
        <w:t>соответствие национальным целям, суверенитету, демографии, качеству жизни и долгосрочному цивилизационному проекту.</w:t>
      </w:r>
    </w:p>
    <w:p>
      <w:pPr>
        <w:pStyle w:val="Heading1"/>
      </w:pPr>
      <w:r>
        <w:t>5. Диагностика 30-летнего баланса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Достигнуто</w:t>
            </w:r>
          </w:p>
        </w:tc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Ограничение</w:t>
            </w:r>
          </w:p>
        </w:tc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Вывод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Суверенитет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Сохранены и собраны критические отраслевые ядра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Часть цепочек остается зависимой от станков, электроники, материалов и ПО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Переход к сквозным картам технологической независимости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Капитал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Созданы крупные инвестиционные центры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Капитал часто оптимизируется внутри корпорации, а не по межотраслевому эффекту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Единый баланс капитальных программ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Инновации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Сформированы сильные НИОКР-контуры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Длинный путь от лаборатории до серии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Единый реестр технологий и механизм быстрого тиражирования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Гражданская диверсификация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Рост гражданских направлений и новых бизнесов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Неравномерность по корпорациям и циклическая зависимость от госзаказа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Портфель двойных технологий и гарантированный внутренний спрос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Кадры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Сохранены инженерные школы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Дефицит кадров и конкуренция корпораций друг с другом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Национальный кадровый баланс и межкорпоративные академии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Территории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Корпорации поддерживают города присутствия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Эффект слабо сведен в единый региональный баланс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Корпоративные программы = часть мастер-планов регионов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Данные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Есть развитая корпоративная отчетность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Нет унифицированного оперативного межкорпоративного баланса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6"/>
              </w:rPr>
              <w:t>Федеративная модель данных + цифровой двойник баланса</w:t>
            </w:r>
          </w:p>
        </w:tc>
      </w:tr>
    </w:tbl>
    <w:p>
      <w:pPr>
        <w:pStyle w:val="Heading1"/>
      </w:pPr>
      <w:r>
        <w:t>6. Выходы в Новый Уклад</w:t>
      </w:r>
    </w:p>
    <w:p>
      <w:r>
        <w:t>Новый Уклад — это переход от управления отдельными юридическими лицами к конструированию целостных воспроизводственных контуров страны. Ключевой объект управления — не корпорация сама по себе, а связка «потребность → ресурс → технология → производство → инфраструктура → человек → территория → результат».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315272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_order_matrix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1527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b/>
          <w:color w:val="17365D"/>
        </w:rPr>
        <w:t>1. Единый государственный баланс госкорпораций</w:t>
      </w:r>
      <w:r>
        <w:t>. Свести стратегии, инвестпрограммы, НИОКР, закупки, кадры, инфраструктуру и территориальные эффекты в одну систему показателей.</w:t>
      </w:r>
    </w:p>
    <w:p>
      <w:pPr>
        <w:spacing w:after="100"/>
      </w:pPr>
      <w:r>
        <w:rPr>
          <w:b/>
          <w:color w:val="17365D"/>
        </w:rPr>
        <w:t>2. Межкорпоративные технологические цепочки</w:t>
      </w:r>
      <w:r>
        <w:t>. Создать реестр критических зависимостей и взаимных поставок: материалы, станки, микроэлектроника, ПО, энергетика, логистика.</w:t>
      </w:r>
    </w:p>
    <w:p>
      <w:pPr>
        <w:spacing w:after="100"/>
      </w:pPr>
      <w:r>
        <w:rPr>
          <w:b/>
          <w:color w:val="17365D"/>
        </w:rPr>
        <w:t>3. Национальный контур материаловедения</w:t>
      </w:r>
      <w:r>
        <w:t>. Объединить металлы, керамику, синтетические кристаллы, композиты и функциональные материалы с реальными заказами корпораций и академической наукой.</w:t>
      </w:r>
    </w:p>
    <w:p>
      <w:pPr>
        <w:spacing w:after="100"/>
      </w:pPr>
      <w:r>
        <w:rPr>
          <w:b/>
          <w:color w:val="17365D"/>
        </w:rPr>
        <w:t>4. Вычислительный ГРИД</w:t>
      </w:r>
      <w:r>
        <w:t>. Общие высокопроизводительные вычисления, инженерное моделирование, ИИ, цифровые двойники и федеративные базы данных.</w:t>
      </w:r>
    </w:p>
    <w:p>
      <w:pPr>
        <w:spacing w:after="100"/>
      </w:pPr>
      <w:r>
        <w:rPr>
          <w:b/>
          <w:color w:val="17365D"/>
        </w:rPr>
        <w:t>5. Система фондов и длинного капитала</w:t>
      </w:r>
      <w:r>
        <w:t>. Разделить оборотный, инвестиционный, технологический, инфраструктурный, кадровый и резервный капитал; оценивать фонд по создаваемому эффекту.</w:t>
      </w:r>
    </w:p>
    <w:p>
      <w:pPr>
        <w:spacing w:after="100"/>
      </w:pPr>
      <w:r>
        <w:rPr>
          <w:b/>
          <w:color w:val="17365D"/>
        </w:rPr>
        <w:t>6. Производственные консорциумы</w:t>
      </w:r>
      <w:r>
        <w:t>. Вместо дублирования мощностей — совместное использование испытательных центров, полигонов, лабораторий, суперкомпьютеров и опытных производств.</w:t>
      </w:r>
    </w:p>
    <w:p>
      <w:pPr>
        <w:spacing w:after="100"/>
      </w:pPr>
      <w:r>
        <w:rPr>
          <w:b/>
          <w:color w:val="17365D"/>
        </w:rPr>
        <w:t>7. Баланс территорий</w:t>
      </w:r>
      <w:r>
        <w:t>. Привязать программы корпораций к мастер-планам городов и регионов, инфраструктуре, жилью, образованию, экологии и демографии.</w:t>
      </w:r>
    </w:p>
    <w:p>
      <w:pPr>
        <w:spacing w:after="100"/>
      </w:pPr>
      <w:r>
        <w:rPr>
          <w:b/>
          <w:color w:val="17365D"/>
        </w:rPr>
        <w:t>8. Биоценозный стандарт</w:t>
      </w:r>
      <w:r>
        <w:t>. Каждый крупный проект должен считать не только финансовый NPV, но и баланс воды, воздуха, почв, биоразнообразия, отходов и здоровья среды.</w:t>
      </w:r>
    </w:p>
    <w:p>
      <w:pPr>
        <w:spacing w:after="100"/>
      </w:pPr>
      <w:r>
        <w:rPr>
          <w:b/>
          <w:color w:val="17365D"/>
        </w:rPr>
        <w:t>9. Контур обратной связи</w:t>
      </w:r>
      <w:r>
        <w:t>. Показатели в реальном времени: отклонение → причина → решение → ресурс → ответственный → срок → подтвержденный эффект.</w:t>
      </w:r>
    </w:p>
    <w:p>
      <w:pPr>
        <w:pStyle w:val="Heading1"/>
      </w:pPr>
      <w:r>
        <w:t>7. Архитектура государственного метабаланса</w:t>
      </w:r>
    </w:p>
    <w:p>
      <w:pPr>
        <w:spacing w:after="40"/>
        <w:jc w:val="center"/>
      </w:pPr>
      <w:r>
        <w:rPr>
          <w:b/>
          <w:color w:val="17365D"/>
          <w:sz w:val="22"/>
        </w:rPr>
        <w:t>Национальные цели и безопасность</w:t>
      </w:r>
    </w:p>
    <w:p>
      <w:pPr>
        <w:spacing w:after="40"/>
        <w:jc w:val="center"/>
      </w:pPr>
      <w:r>
        <w:rPr>
          <w:b w:val="0"/>
          <w:color w:val="1A1A1A"/>
          <w:sz w:val="22"/>
        </w:rPr>
        <w:t>↓ 19 отраслевых/функциональных балансов</w:t>
      </w:r>
    </w:p>
    <w:p>
      <w:pPr>
        <w:spacing w:after="40"/>
        <w:jc w:val="center"/>
      </w:pPr>
      <w:r>
        <w:rPr>
          <w:b w:val="0"/>
          <w:color w:val="1A1A1A"/>
          <w:sz w:val="22"/>
        </w:rPr>
        <w:t>↓ Госкорпорации и госкомпании</w:t>
      </w:r>
    </w:p>
    <w:p>
      <w:pPr>
        <w:spacing w:after="40"/>
        <w:jc w:val="center"/>
      </w:pPr>
      <w:r>
        <w:rPr>
          <w:b w:val="0"/>
          <w:color w:val="1A1A1A"/>
          <w:sz w:val="22"/>
        </w:rPr>
        <w:t>↓ Институты развития и банки</w:t>
      </w:r>
    </w:p>
    <w:p>
      <w:pPr>
        <w:spacing w:after="40"/>
        <w:jc w:val="center"/>
      </w:pPr>
      <w:r>
        <w:rPr>
          <w:b w:val="0"/>
          <w:color w:val="1A1A1A"/>
          <w:sz w:val="22"/>
        </w:rPr>
        <w:t>↓ Академическая и прикладная наука</w:t>
      </w:r>
    </w:p>
    <w:p>
      <w:pPr>
        <w:spacing w:after="40"/>
        <w:jc w:val="center"/>
      </w:pPr>
      <w:r>
        <w:rPr>
          <w:b w:val="0"/>
          <w:color w:val="1A1A1A"/>
          <w:sz w:val="22"/>
        </w:rPr>
        <w:t>↓ Регионы и города присутствия</w:t>
      </w:r>
    </w:p>
    <w:p>
      <w:pPr>
        <w:spacing w:after="40"/>
        <w:jc w:val="center"/>
      </w:pPr>
      <w:r>
        <w:rPr>
          <w:b w:val="0"/>
          <w:color w:val="1A1A1A"/>
          <w:sz w:val="22"/>
        </w:rPr>
        <w:t>↓ Поставщики и МСП</w:t>
      </w:r>
    </w:p>
    <w:p>
      <w:pPr>
        <w:spacing w:after="40"/>
        <w:jc w:val="center"/>
      </w:pPr>
      <w:r>
        <w:rPr>
          <w:b w:val="0"/>
          <w:color w:val="1A1A1A"/>
          <w:sz w:val="22"/>
        </w:rPr>
        <w:t>↓ Цифровая система мониторинга</w:t>
      </w:r>
    </w:p>
    <w:p>
      <w:pPr>
        <w:spacing w:after="40"/>
        <w:jc w:val="center"/>
      </w:pPr>
      <w:r>
        <w:rPr>
          <w:b/>
          <w:color w:val="17365D"/>
          <w:sz w:val="22"/>
        </w:rPr>
        <w:t>↓ Контур решений Правительства РФ</w:t>
      </w:r>
    </w:p>
    <w:p>
      <w:pPr>
        <w:pStyle w:val="Heading1"/>
      </w:pPr>
      <w:r>
        <w:t>8. Дорожная карта 2026–2030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Срок</w:t>
            </w:r>
          </w:p>
        </w:tc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  <w:tc>
          <w:tcPr>
            <w:tcW w:type="dxa" w:w="252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Критерий готовности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I. Инвентаризация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0–6 мес.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Единый паспорт активов, проектов, технологий и компетенций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Сопоставимые данные по ключевым корпорациям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II. Балансирование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6–12 мес.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Матрица дефицитов/избытков и межкорпоративных связей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Выявлены критические разрывы и дублирование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III. Пилоты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12–24 мес.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3–5 сквозных цепочек: материалы, энергетика, транспорт, вычисления, экология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Подтвержден экономический и технологический эффект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IV. Масштабирование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2028–2030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Федеральная система метабаланса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color w:val="1A1A1A"/>
                <w:sz w:val="17"/>
              </w:rPr>
              <w:t>Инвестрешения и госпрограммы опираются на единые балансы</w:t>
            </w:r>
          </w:p>
        </w:tc>
      </w:tr>
    </w:tbl>
    <w:p>
      <w:pPr>
        <w:pStyle w:val="Heading1"/>
      </w:pPr>
      <w:r>
        <w:t>9. Система KPI Нового Уклада</w:t>
      </w:r>
    </w:p>
    <w:p>
      <w:pPr>
        <w:pStyle w:val="ListBullet"/>
        <w:spacing w:after="60"/>
      </w:pPr>
      <w:r>
        <w:t>Доля критических цепочек с подтвержденной технологической независимостью.</w:t>
      </w:r>
    </w:p>
    <w:p>
      <w:pPr>
        <w:pStyle w:val="ListBullet"/>
        <w:spacing w:after="60"/>
      </w:pPr>
      <w:r>
        <w:t>Коэффициент межкорпоративного использования производственных и научных мощностей.</w:t>
      </w:r>
    </w:p>
    <w:p>
      <w:pPr>
        <w:pStyle w:val="ListBullet"/>
        <w:spacing w:after="60"/>
      </w:pPr>
      <w:r>
        <w:t>Доля инвестиций, прошедших оценку межотраслевого мультипликатора.</w:t>
      </w:r>
    </w:p>
    <w:p>
      <w:pPr>
        <w:pStyle w:val="ListBullet"/>
        <w:spacing w:after="60"/>
      </w:pPr>
      <w:r>
        <w:t>Срок «НИОКР → опытный образец → серия».</w:t>
      </w:r>
    </w:p>
    <w:p>
      <w:pPr>
        <w:pStyle w:val="ListBullet"/>
        <w:spacing w:after="60"/>
      </w:pPr>
      <w:r>
        <w:t>Доля отечественных материалов, оборудования, ПО и вычислительной инфраструктуры.</w:t>
      </w:r>
    </w:p>
    <w:p>
      <w:pPr>
        <w:pStyle w:val="ListBullet"/>
        <w:spacing w:after="60"/>
      </w:pPr>
      <w:r>
        <w:t>Производительность труда и обеспеченность ключевыми инженерными компетенциями.</w:t>
      </w:r>
    </w:p>
    <w:p>
      <w:pPr>
        <w:pStyle w:val="ListBullet"/>
        <w:spacing w:after="60"/>
      </w:pPr>
      <w:r>
        <w:t>Региональный эффект: занятость, доходы, инфраструктура, качество городской среды.</w:t>
      </w:r>
    </w:p>
    <w:p>
      <w:pPr>
        <w:pStyle w:val="ListBullet"/>
        <w:spacing w:after="60"/>
      </w:pPr>
      <w:r>
        <w:t>Экологический эффект на единицу создаваемой добавленной стоимости.</w:t>
      </w:r>
    </w:p>
    <w:p>
      <w:pPr>
        <w:pStyle w:val="ListBullet"/>
        <w:spacing w:after="60"/>
      </w:pPr>
      <w:r>
        <w:t>Доля показателей, доступных в режиме оперативной обратной связи.</w:t>
      </w:r>
    </w:p>
    <w:p>
      <w:pPr>
        <w:pStyle w:val="Heading1"/>
      </w:pPr>
      <w:r>
        <w:t>10. Итоговый вывод</w:t>
      </w:r>
    </w:p>
    <w:p>
      <w:r>
        <w:rPr>
          <w:b/>
        </w:rPr>
        <w:t xml:space="preserve">Главный результат 30 лет: </w:t>
      </w:r>
      <w:r>
        <w:t>Россия сформировала крупные государственные корпоративные ядра, способные удерживать стратегические отрасли и концентрировать ресурсы.</w:t>
      </w:r>
    </w:p>
    <w:p>
      <w:r>
        <w:rPr>
          <w:b/>
        </w:rPr>
        <w:t xml:space="preserve">Главная задача следующего цикла: </w:t>
      </w:r>
      <w:r>
        <w:t>превратить сумму сильных корпораций в связанную систему национального воспроизводства. Новый Уклад начинается там, где корпоративный баланс становится частью баланса страны, а инвестиционное решение одновременно учитывает капитал, технологии, материалы, кадры, территорию, экологию и долгосрочный суверенитет.</w:t>
      </w:r>
    </w:p>
    <w:p>
      <w:pPr>
        <w:pStyle w:val="Heading1"/>
      </w:pPr>
      <w:r>
        <w:t>Источники и методические примечания</w:t>
      </w:r>
    </w:p>
    <w:p>
      <w:pPr>
        <w:spacing w:after="80"/>
      </w:pPr>
      <w:r>
        <w:rPr>
          <w:color w:val="5B6573"/>
          <w:sz w:val="17"/>
        </w:rPr>
        <w:t>[1] ГК «Ростех». Итоги работы за 2024 год, сообщение от 10.06.2025: консолидированная выручка 3,61 трлн руб., чистая прибыль 131,5 млрд руб., инвестиции 676 млрд руб., доля гражданской продукции 30,7%.</w:t>
      </w:r>
    </w:p>
    <w:p>
      <w:pPr>
        <w:spacing w:after="80"/>
      </w:pPr>
      <w:r>
        <w:rPr>
          <w:color w:val="5B6573"/>
          <w:sz w:val="17"/>
        </w:rPr>
        <w:t>[2] ГК «Росатом». Стратегический отчет за 2024 год: выручка по МСФО 3 087,7 млрд руб., скорректированный свободный денежный поток 445,4 млрд руб., НМА 349,5 млрд руб.</w:t>
      </w:r>
    </w:p>
    <w:p>
      <w:pPr>
        <w:spacing w:after="80"/>
      </w:pPr>
      <w:r>
        <w:rPr>
          <w:color w:val="5B6573"/>
          <w:sz w:val="17"/>
        </w:rPr>
        <w:t>[3] ГК «Росатом». Публичная отчетность: выработка электроэнергии АЭС в 2024 году 215,5 млрд кВт·ч; доля атомной энергетики в энергобалансе России порядка 19%.</w:t>
      </w:r>
    </w:p>
    <w:p>
      <w:pPr>
        <w:spacing w:after="80"/>
      </w:pPr>
      <w:r>
        <w:rPr>
          <w:color w:val="5B6573"/>
          <w:sz w:val="17"/>
        </w:rPr>
        <w:t>[4] ВЭБ.РФ. Раздел раскрытия отчетности и отчеты эмитента за 2024–2025 годы.</w:t>
      </w:r>
    </w:p>
    <w:p>
      <w:pPr>
        <w:spacing w:after="80"/>
      </w:pPr>
      <w:r>
        <w:rPr>
          <w:color w:val="5B6573"/>
          <w:sz w:val="17"/>
        </w:rPr>
        <w:t>[5] Федеральный закон от 12.01.1996 № 7-ФЗ «О некоммерческих организациях», статья 7.1 «Государственная корпорация» введена Федеральным законом от 08.07.1999 № 140-ФЗ.</w:t>
      </w:r>
    </w:p>
    <w:p>
      <w:pPr>
        <w:spacing w:after="80"/>
      </w:pPr>
      <w:r>
        <w:rPr>
          <w:color w:val="5B6573"/>
          <w:sz w:val="17"/>
        </w:rPr>
        <w:t>Методика: интегральные индексы и целевые оценки в диаграммах являются авторской аналитической шкалой для сравнения институциональной зрелости; они не являются официальной государственной статистикой. Финансовые показатели разных корпораций не агрегируются механически из-за различий в задачах, стандартах отчетности, консолидации и организационно-правовой форме.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573"/>
        <w:sz w:val="16"/>
      </w:rPr>
      <w:t>Стратегический аналитический материал • Новый Уклад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B6573"/>
        <w:sz w:val="16"/>
      </w:rPr>
      <w:t>РОССИЯ • АНАЛИЗ БАЛАНСА ГОСКОРПОРАЦИЙ • 1996–2025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B08D3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