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Kicker"/>
        <w:spacing w:before="160"/>
      </w:pPr>
      <w:r>
        <w:rPr>
          <w:rFonts w:ascii="Calibri" w:hAnsi="Calibri" w:eastAsia="Calibri" w:cs="Calibri"/>
          <w:b/>
          <w:i w:val="0"/>
          <w:color w:val="2E74B5"/>
          <w:sz w:val="20"/>
        </w:rPr>
        <w:t>СТРАТЕГИЧЕСКАЯ КОНЦЕПЦИЯ</w:t>
      </w:r>
    </w:p>
    <w:p>
      <w:pPr>
        <w:pStyle w:val="Title"/>
        <w:spacing w:before="140" w:after="80"/>
      </w:pPr>
      <w:r>
        <w:rPr>
          <w:rFonts w:ascii="Calibri" w:hAnsi="Calibri" w:eastAsia="Calibri" w:cs="Calibri"/>
          <w:b/>
          <w:i w:val="0"/>
          <w:color w:val="17365D"/>
          <w:sz w:val="58"/>
        </w:rPr>
        <w:t>Инфраструктура институтов</w:t>
        <w:br/>
      </w:r>
      <w:r>
        <w:rPr>
          <w:rFonts w:ascii="Calibri" w:hAnsi="Calibri" w:eastAsia="Calibri" w:cs="Calibri"/>
          <w:b/>
          <w:i w:val="0"/>
          <w:color w:val="17365D"/>
          <w:sz w:val="58"/>
        </w:rPr>
        <w:t>Академии наук СССР</w:t>
        <w:br/>
      </w:r>
      <w:r>
        <w:rPr>
          <w:rFonts w:ascii="Calibri" w:hAnsi="Calibri" w:eastAsia="Calibri" w:cs="Calibri"/>
          <w:b/>
          <w:i w:val="0"/>
          <w:color w:val="2E74B5"/>
          <w:sz w:val="48"/>
        </w:rPr>
        <w:t>для программы «Возрождение Земли»</w:t>
      </w:r>
    </w:p>
    <w:p>
      <w:pPr>
        <w:spacing w:after="200"/>
      </w:pPr>
      <w:r>
        <w:rPr>
          <w:rFonts w:ascii="Calibri" w:hAnsi="Calibri" w:eastAsia="Calibri" w:cs="Calibri"/>
          <w:b/>
          <w:i w:val="0"/>
          <w:color w:val="1F4D78"/>
          <w:sz w:val="32"/>
        </w:rPr>
        <w:t>АКАДЕМИЧЕСКИЕ РЕЕСТРЫ</w:t>
      </w:r>
    </w:p>
    <w:p>
      <w:pPr>
        <w:spacing w:after="200"/>
        <w:jc w:val="center"/>
      </w:pPr>
      <w:r>
        <w:drawing>
          <wp:inline xmlns:a="http://schemas.openxmlformats.org/drawingml/2006/main" xmlns:pic="http://schemas.openxmlformats.org/drawingml/2006/picture">
            <wp:extent cx="5943600" cy="3345052"/>
            <wp:docPr id="1" name="Picture 1" descr="Земля и сеть научных связей — концептуальная иллюстрация проект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ec-ad55de30-a2c8-4445-ae02-1613f4ccd202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5052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</w:tblPr>
      <w:tblGrid>
        <w:gridCol w:w="4680"/>
        <w:gridCol w:w="4680"/>
      </w:tblGrid>
      <w:tr>
        <w:trPr>
          <w:tblHeader w:val="true"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5B6573"/>
                <w:sz w:val="18"/>
              </w:rPr>
              <w:t>Подготовлено для</w:t>
              <w:br/>
              <w:t>Сергей Леонидович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9" w:lineRule="auto"/>
              <w:jc w:val="right"/>
            </w:pPr>
            <w:r/>
            <w:r>
              <w:rPr>
                <w:rFonts w:ascii="Calibri" w:hAnsi="Calibri" w:eastAsia="Calibri" w:cs="Calibri"/>
                <w:b/>
                <w:i w:val="0"/>
                <w:color w:val="5B6573"/>
                <w:sz w:val="18"/>
              </w:rPr>
              <w:t>Рабочая версия</w:t>
              <w:br/>
              <w:t>26 августа 2026 года</w:t>
            </w:r>
          </w:p>
        </w:tc>
      </w:tr>
    </w:tbl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01</w:t>
      </w:r>
    </w:p>
    <w:p>
      <w:pPr>
        <w:pStyle w:val="Heading1"/>
      </w:pPr>
      <w:r>
        <w:t>Решение, которое предлагается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Создать современную федеративную академическую инфраструктуру, использующую сильные системные принципы АН СССР без воспроизведения её административно-политической модели.</w:t>
      </w:r>
    </w:p>
    <w:p>
      <w:pPr>
        <w:pStyle w:val="QuoteBox"/>
      </w:pPr>
      <w:r>
        <w:rPr>
          <w:rFonts w:ascii="Calibri" w:hAnsi="Calibri" w:eastAsia="Calibri" w:cs="Calibri"/>
          <w:b/>
          <w:i w:val="0"/>
          <w:color w:val="17365D"/>
          <w:sz w:val="24"/>
        </w:rPr>
        <w:t>«Возрождение Земли» — миссия; академические институты — инфраструктура исполнения; академические реестры — инфраструктура доверия и управления.</w:t>
      </w:r>
    </w:p>
    <w:p>
      <w:r>
        <w:rPr>
          <w:rFonts w:ascii="Calibri" w:hAnsi="Calibri" w:eastAsia="Calibri" w:cs="Calibri"/>
          <w:b w:val="0"/>
          <w:i w:val="0"/>
          <w:color w:val="1F2937"/>
          <w:sz w:val="22"/>
        </w:rPr>
        <w:t>К концу 36-месячного цикла должна действовать сеть профильных институтских контуров и территориальных узлов, объединённая 16 взаимосвязанными реестрами. Для каждого решения сохраняется прослеживаемая цепочка: источник → метод → данные → вывод → технология → мероприятие → измеренный эффект → независимая проверка.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650"/>
        <w:gridCol w:w="2350"/>
        <w:gridCol w:w="6360"/>
      </w:tblGrid>
      <w:tr>
        <w:trPr>
          <w:tblHeader w:val="true"/>
          <w:cantSplit/>
        </w:trP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№</w:t>
            </w:r>
          </w:p>
        </w:tc>
        <w:tc>
          <w:tcPr>
            <w:tcW w:type="dxa" w:w="2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Решение</w:t>
            </w:r>
          </w:p>
        </w:tc>
        <w:tc>
          <w:tcPr>
            <w:tcW w:type="dxa" w:w="6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Содержание</w:t>
            </w:r>
          </w:p>
        </w:tc>
      </w:tr>
      <w:tr>
        <w:trPr>
          <w:cantSplit/>
        </w:trPr>
        <w:tc>
          <w:tcPr>
            <w:tcW w:type="dxa" w:w="6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1</w:t>
            </w:r>
          </w:p>
        </w:tc>
        <w:tc>
          <w:tcPr>
            <w:tcW w:type="dxa" w:w="23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Утвердить рамку</w:t>
            </w:r>
          </w:p>
        </w:tc>
        <w:tc>
          <w:tcPr>
            <w:tcW w:type="dxa" w:w="63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Не юридическое восстановление АН СССР, а современная сеть на основе её сильных организационных принципов.</w:t>
            </w:r>
          </w:p>
        </w:tc>
      </w:tr>
      <w:tr>
        <w:trPr>
          <w:cantSplit/>
        </w:trPr>
        <w:tc>
          <w:tcPr>
            <w:tcW w:type="dxa" w:w="6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2</w:t>
            </w:r>
          </w:p>
        </w:tc>
        <w:tc>
          <w:tcPr>
            <w:tcW w:type="dxa" w:w="23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Назначить владельцев</w:t>
            </w:r>
          </w:p>
        </w:tc>
        <w:tc>
          <w:tcPr>
            <w:tcW w:type="dxa" w:w="63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Высший академический совет, научно-методический совет, оператор платформы и владельцы доменных реестров.</w:t>
            </w:r>
          </w:p>
        </w:tc>
      </w:tr>
      <w:tr>
        <w:trPr>
          <w:cantSplit/>
        </w:trPr>
        <w:tc>
          <w:tcPr>
            <w:tcW w:type="dxa" w:w="6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3</w:t>
            </w:r>
          </w:p>
        </w:tc>
        <w:tc>
          <w:tcPr>
            <w:tcW w:type="dxa" w:w="23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Запустить 16 реестров</w:t>
            </w:r>
          </w:p>
        </w:tc>
        <w:tc>
          <w:tcPr>
            <w:tcW w:type="dxa" w:w="63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Единые идентификаторы, паспорта объектов, правила доказательности, версии и связи.</w:t>
            </w:r>
          </w:p>
        </w:tc>
      </w:tr>
      <w:tr>
        <w:trPr>
          <w:cantSplit/>
        </w:trPr>
        <w:tc>
          <w:tcPr>
            <w:tcW w:type="dxa" w:w="6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4</w:t>
            </w:r>
          </w:p>
        </w:tc>
        <w:tc>
          <w:tcPr>
            <w:tcW w:type="dxa" w:w="23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Выбрать пилот</w:t>
            </w:r>
          </w:p>
        </w:tc>
        <w:tc>
          <w:tcPr>
            <w:tcW w:type="dxa" w:w="63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3–5 территорий, 5 приоритетных проблем, единая исходная линия и независимая верификация.</w:t>
            </w:r>
          </w:p>
        </w:tc>
      </w:tr>
      <w:tr>
        <w:trPr>
          <w:cantSplit/>
        </w:trPr>
        <w:tc>
          <w:tcPr>
            <w:tcW w:type="dxa" w:w="6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5</w:t>
            </w:r>
          </w:p>
        </w:tc>
        <w:tc>
          <w:tcPr>
            <w:tcW w:type="dxa" w:w="23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Закрепить правовой режим</w:t>
            </w:r>
          </w:p>
        </w:tc>
        <w:tc>
          <w:tcPr>
            <w:tcW w:type="dxa" w:w="63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Данные, права, доступ, безопасность, конфликт интересов и апелляции.</w:t>
            </w:r>
          </w:p>
        </w:tc>
      </w:tr>
      <w:tr>
        <w:trPr>
          <w:cantSplit/>
        </w:trPr>
        <w:tc>
          <w:tcPr>
            <w:tcW w:type="dxa" w:w="6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6</w:t>
            </w:r>
          </w:p>
        </w:tc>
        <w:tc>
          <w:tcPr>
            <w:tcW w:type="dxa" w:w="23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Обеспечить длинный горизонт</w:t>
            </w:r>
          </w:p>
        </w:tc>
        <w:tc>
          <w:tcPr>
            <w:tcW w:type="dxa" w:w="63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Раздельное финансирование науки, инфраструктуры и проектов с публичным аудитом.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7" w:space="0" w:color="2E74B5"/>
          <w:left w:val="single" w:sz="7" w:space="0" w:color="2E74B5"/>
          <w:bottom w:val="single" w:sz="7" w:space="0" w:color="2E74B5"/>
          <w:right w:val="single" w:sz="7" w:space="0" w:color="2E74B5"/>
          <w:insideH w:val="single" w:sz="7" w:space="0" w:color="2E74B5"/>
          <w:insideV w:val="single" w:sz="7" w:space="0" w:color="2E74B5"/>
        </w:tblBorders>
      </w:tblPr>
      <w:tblGrid>
        <w:gridCol w:w="9360"/>
      </w:tblGrid>
      <w:tr>
        <w:trPr>
          <w:tblHeader w:val="true"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3F8"/>
          </w:tcPr>
          <w:p>
            <w:pPr>
              <w:spacing w:after="80"/>
            </w:pPr>
            <w:r>
              <w:rPr>
                <w:rFonts w:ascii="Calibri" w:hAnsi="Calibri" w:eastAsia="Calibri" w:cs="Calibri"/>
                <w:b/>
                <w:i w:val="0"/>
                <w:color w:val="2E74B5"/>
                <w:sz w:val="22"/>
              </w:rPr>
              <w:t>Критерий успеха</w:t>
            </w:r>
          </w:p>
          <w:p>
            <w:pPr>
              <w:spacing w:after="0" w:line="283" w:lineRule="auto"/>
            </w:pPr>
            <w:r>
              <w:rPr>
                <w:rFonts w:ascii="Calibri" w:hAnsi="Calibri" w:eastAsia="Calibri" w:cs="Calibri"/>
                <w:b w:val="0"/>
                <w:i w:val="0"/>
                <w:color w:val="1F2937"/>
                <w:sz w:val="20"/>
              </w:rPr>
              <w:t>Система должна повышать качество решений, а не количество записей. Реестр считается полезным только тогда, когда его данные повторно используются в исследованиях, экспертизе, проектировании, финансировании и независимой оценке эффекта.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02</w:t>
      </w:r>
    </w:p>
    <w:p>
      <w:pPr>
        <w:pStyle w:val="Heading1"/>
      </w:pPr>
      <w:r>
        <w:t>Почему требуется новая инфраструктура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Сегодня знания, оборудование, проекты, территории и доказательства часто существуют в раздельных контурах.</w:t>
      </w:r>
    </w:p>
    <w:p>
      <w:r>
        <w:rPr>
          <w:rFonts w:ascii="Calibri" w:hAnsi="Calibri" w:eastAsia="Calibri" w:cs="Calibri"/>
          <w:b w:val="0"/>
          <w:i w:val="0"/>
          <w:color w:val="1F2937"/>
          <w:sz w:val="22"/>
        </w:rPr>
        <w:t>Проблема — не в отсутствии науки как таковой. Разрыв возникает между накопленным знанием и способностью превращать его в согласованные программы восстановления территорий. Организации описывают себя по-разному, методы не всегда связаны с наборами данных, пилоты — с исходной линией, а заявленный эффект — с независимой проверкой.</w:t>
      </w:r>
    </w:p>
    <w:p>
      <w:pPr>
        <w:pStyle w:val="ListBullet"/>
        <w:keepLines/>
        <w:spacing w:after="60" w:line="288" w:lineRule="auto"/>
      </w:pPr>
      <w:r>
        <w:rPr>
          <w:rFonts w:ascii="Calibri" w:hAnsi="Calibri" w:eastAsia="Calibri" w:cs="Calibri"/>
          <w:b/>
          <w:i w:val="0"/>
          <w:color w:val="1F2937"/>
          <w:sz w:val="21"/>
        </w:rPr>
        <w:t xml:space="preserve">Фрагментация институтов. </w:t>
      </w:r>
      <w:r>
        <w:rPr>
          <w:rFonts w:ascii="Calibri" w:hAnsi="Calibri" w:eastAsia="Calibri" w:cs="Calibri"/>
          <w:b w:val="0"/>
          <w:i w:val="0"/>
          <w:color w:val="1F2937"/>
          <w:sz w:val="21"/>
        </w:rPr>
        <w:t>Компетенции и инфраструктура учитываются локально; межинститутский поиск строится вручную.</w:t>
      </w:r>
    </w:p>
    <w:p>
      <w:pPr>
        <w:pStyle w:val="ListBullet"/>
        <w:keepLines/>
        <w:spacing w:after="60" w:line="288" w:lineRule="auto"/>
      </w:pPr>
      <w:r>
        <w:rPr>
          <w:rFonts w:ascii="Calibri" w:hAnsi="Calibri" w:eastAsia="Calibri" w:cs="Calibri"/>
          <w:b/>
          <w:i w:val="0"/>
          <w:color w:val="1F2937"/>
          <w:sz w:val="21"/>
        </w:rPr>
        <w:t xml:space="preserve">Разрыв доказательности. </w:t>
      </w:r>
      <w:r>
        <w:rPr>
          <w:rFonts w:ascii="Calibri" w:hAnsi="Calibri" w:eastAsia="Calibri" w:cs="Calibri"/>
          <w:b w:val="0"/>
          <w:i w:val="0"/>
          <w:color w:val="1F2937"/>
          <w:sz w:val="21"/>
        </w:rPr>
        <w:t>Публикация, набор данных, технология, пилот и подтверждённый эффект смешиваются как равнозначные результаты.</w:t>
      </w:r>
    </w:p>
    <w:p>
      <w:pPr>
        <w:pStyle w:val="ListBullet"/>
        <w:keepLines/>
        <w:spacing w:after="60" w:line="288" w:lineRule="auto"/>
      </w:pPr>
      <w:r>
        <w:rPr>
          <w:rFonts w:ascii="Calibri" w:hAnsi="Calibri" w:eastAsia="Calibri" w:cs="Calibri"/>
          <w:b/>
          <w:i w:val="0"/>
          <w:color w:val="1F2937"/>
          <w:sz w:val="21"/>
        </w:rPr>
        <w:t xml:space="preserve">Короткий проектный горизонт. </w:t>
      </w:r>
      <w:r>
        <w:rPr>
          <w:rFonts w:ascii="Calibri" w:hAnsi="Calibri" w:eastAsia="Calibri" w:cs="Calibri"/>
          <w:b w:val="0"/>
          <w:i w:val="0"/>
          <w:color w:val="1F2937"/>
          <w:sz w:val="21"/>
        </w:rPr>
        <w:t>Фундаментальные исследования, наблюдательные ряды и эксплуатация уникальных установок не укладываются в обычный грантовый цикл.</w:t>
      </w:r>
    </w:p>
    <w:p>
      <w:pPr>
        <w:pStyle w:val="ListBullet"/>
        <w:keepLines/>
        <w:spacing w:after="60" w:line="288" w:lineRule="auto"/>
      </w:pPr>
      <w:r>
        <w:rPr>
          <w:rFonts w:ascii="Calibri" w:hAnsi="Calibri" w:eastAsia="Calibri" w:cs="Calibri"/>
          <w:b/>
          <w:i w:val="0"/>
          <w:color w:val="1F2937"/>
          <w:sz w:val="21"/>
        </w:rPr>
        <w:t xml:space="preserve">Непрозрачная преемственность. </w:t>
      </w:r>
      <w:r>
        <w:rPr>
          <w:rFonts w:ascii="Calibri" w:hAnsi="Calibri" w:eastAsia="Calibri" w:cs="Calibri"/>
          <w:b w:val="0"/>
          <w:i w:val="0"/>
          <w:color w:val="1F2937"/>
          <w:sz w:val="21"/>
        </w:rPr>
        <w:t>История институтов, коллекций, школ и активов редко описана как цепочка преобразований с источниками.</w:t>
      </w:r>
    </w:p>
    <w:p>
      <w:pPr>
        <w:pStyle w:val="ListBullet"/>
        <w:keepLines/>
        <w:spacing w:after="60" w:line="288" w:lineRule="auto"/>
      </w:pPr>
      <w:r>
        <w:rPr>
          <w:rFonts w:ascii="Calibri" w:hAnsi="Calibri" w:eastAsia="Calibri" w:cs="Calibri"/>
          <w:b/>
          <w:i w:val="0"/>
          <w:color w:val="1F2937"/>
          <w:sz w:val="21"/>
        </w:rPr>
        <w:t xml:space="preserve">Трудность масштабирования. </w:t>
      </w:r>
      <w:r>
        <w:rPr>
          <w:rFonts w:ascii="Calibri" w:hAnsi="Calibri" w:eastAsia="Calibri" w:cs="Calibri"/>
          <w:b w:val="0"/>
          <w:i w:val="0"/>
          <w:color w:val="1F2937"/>
          <w:sz w:val="21"/>
        </w:rPr>
        <w:t>Успех пилота не превращается автоматически в воспроизводимую технологию для другой территории.</w:t>
      </w:r>
    </w:p>
    <w:p>
      <w:pPr>
        <w:pStyle w:val="Heading2"/>
      </w:pPr>
      <w:r>
        <w:rPr>
          <w:rFonts w:ascii="Calibri" w:hAnsi="Calibri" w:eastAsia="Calibri" w:cs="Calibri"/>
          <w:b w:val="0"/>
          <w:i w:val="0"/>
          <w:color w:val="1F2937"/>
          <w:sz w:val="22"/>
        </w:rPr>
        <w:t>Целевая цепочка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7" w:space="0" w:color="2E74B5"/>
          <w:left w:val="single" w:sz="7" w:space="0" w:color="2E74B5"/>
          <w:bottom w:val="single" w:sz="7" w:space="0" w:color="2E74B5"/>
          <w:right w:val="single" w:sz="7" w:space="0" w:color="2E74B5"/>
          <w:insideH w:val="single" w:sz="7" w:space="0" w:color="2E74B5"/>
          <w:insideV w:val="single" w:sz="7" w:space="0" w:color="2E74B5"/>
        </w:tblBorders>
      </w:tblPr>
      <w:tblGrid>
        <w:gridCol w:w="9360"/>
      </w:tblGrid>
      <w:tr>
        <w:trPr>
          <w:tblHeader w:val="true"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3F8"/>
          </w:tcPr>
          <w:p>
            <w:pPr>
              <w:spacing w:after="80"/>
            </w:pPr>
            <w:r>
              <w:rPr>
                <w:rFonts w:ascii="Calibri" w:hAnsi="Calibri" w:eastAsia="Calibri" w:cs="Calibri"/>
                <w:b/>
                <w:i w:val="0"/>
                <w:color w:val="2E74B5"/>
                <w:sz w:val="22"/>
              </w:rPr>
              <w:t>От проблемы к подтверждённому эффекту</w:t>
            </w:r>
          </w:p>
          <w:p>
            <w:pPr>
              <w:spacing w:after="0" w:line="283" w:lineRule="auto"/>
            </w:pPr>
            <w:r>
              <w:rPr>
                <w:rFonts w:ascii="Calibri" w:hAnsi="Calibri" w:eastAsia="Calibri" w:cs="Calibri"/>
                <w:b w:val="0"/>
                <w:i w:val="0"/>
                <w:color w:val="1F2937"/>
                <w:sz w:val="20"/>
              </w:rPr>
              <w:t>территория → исходная линия → научно подтверждённый риск → программа → проект → методика → наблюдение → данные → вывод → технология → мероприятие → измеренный эффект → независимая проверка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03</w:t>
      </w:r>
    </w:p>
    <w:p>
      <w:pPr>
        <w:pStyle w:val="Heading1"/>
      </w:pPr>
      <w:r>
        <w:t>Историческая модель АН СССР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Функциональная реконструкция зрелой архитектуры 1963–1991 годов; названия и состав менялись по периодам.</w:t>
      </w:r>
    </w:p>
    <w:p>
      <w:r>
        <w:rPr>
          <w:rFonts w:ascii="Calibri" w:hAnsi="Calibri" w:eastAsia="Calibri" w:cs="Calibri"/>
          <w:b w:val="0"/>
          <w:i w:val="0"/>
          <w:color w:val="1F2937"/>
          <w:sz w:val="22"/>
        </w:rPr>
        <w:t>Сила системы заключалась не только в количестве институтов, а в связанном контуре управления, дисциплинарной специализации, региональных центров и общей инфраструктуры. Устав 1963 года называл НИИ основными органами научно-исследовательской деятельности; рядом действовали лаборатории, станции, обсерватории, библиотеки, музеи, ботанические сады, экспедиции, вспомогательные учреждения и предприятия. [H1]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2800"/>
        <w:gridCol w:w="6560"/>
      </w:tblGrid>
      <w:tr>
        <w:trPr>
          <w:tblHeader w:val="true"/>
          <w:cantSplit/>
        </w:trPr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Уровень</w:t>
            </w:r>
          </w:p>
        </w:tc>
        <w:tc>
          <w:tcPr>
            <w:tcW w:type="dxa" w:w="6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Функция</w:t>
            </w:r>
          </w:p>
        </w:tc>
      </w:tr>
      <w:tr>
        <w:trPr>
          <w:cantSplit/>
        </w:trPr>
        <w:tc>
          <w:tcPr>
            <w:tcW w:type="dxa" w:w="28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Государственный контур</w:t>
            </w:r>
          </w:p>
        </w:tc>
        <w:tc>
          <w:tcPr>
            <w:tcW w:type="dxa" w:w="65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Совет Министров СССР; постановка приоритетов и отчётность Академии.</w:t>
            </w:r>
          </w:p>
        </w:tc>
      </w:tr>
      <w:tr>
        <w:trPr>
          <w:cantSplit/>
        </w:trPr>
        <w:tc>
          <w:tcPr>
            <w:tcW w:type="dxa" w:w="28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Общее собрание</w:t>
            </w:r>
          </w:p>
        </w:tc>
        <w:tc>
          <w:tcPr>
            <w:tcW w:type="dxa" w:w="65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Высший орган: направления науки, выборы, ключевые организационные решения.</w:t>
            </w:r>
          </w:p>
        </w:tc>
      </w:tr>
      <w:tr>
        <w:trPr>
          <w:cantSplit/>
        </w:trPr>
        <w:tc>
          <w:tcPr>
            <w:tcW w:type="dxa" w:w="28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Президиум</w:t>
            </w:r>
          </w:p>
        </w:tc>
        <w:tc>
          <w:tcPr>
            <w:tcW w:type="dxa" w:w="65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Планы, сметы, структура, специализация учреждений, координация советов и комиссий.</w:t>
            </w:r>
          </w:p>
        </w:tc>
      </w:tr>
      <w:tr>
        <w:trPr>
          <w:cantSplit/>
        </w:trPr>
        <w:tc>
          <w:tcPr>
            <w:tcW w:type="dxa" w:w="28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Секции и отделения</w:t>
            </w:r>
          </w:p>
        </w:tc>
        <w:tc>
          <w:tcPr>
            <w:tcW w:type="dxa" w:w="65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Дисциплинарное развитие науки и руководство соответствующей сетью институтов.</w:t>
            </w:r>
          </w:p>
        </w:tc>
      </w:tr>
      <w:tr>
        <w:trPr>
          <w:cantSplit/>
        </w:trPr>
        <w:tc>
          <w:tcPr>
            <w:tcW w:type="dxa" w:w="28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Научные советы</w:t>
            </w:r>
          </w:p>
        </w:tc>
        <w:tc>
          <w:tcPr>
            <w:tcW w:type="dxa" w:w="65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Межинститутские и межведомственные комплексные проблемы; не тождественны НИИ.</w:t>
            </w:r>
          </w:p>
        </w:tc>
      </w:tr>
      <w:tr>
        <w:trPr>
          <w:cantSplit/>
        </w:trPr>
        <w:tc>
          <w:tcPr>
            <w:tcW w:type="dxa" w:w="28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Региональные контуры</w:t>
            </w:r>
          </w:p>
        </w:tc>
        <w:tc>
          <w:tcPr>
            <w:tcW w:type="dxa" w:w="65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Отделения, научные центры и филиалы для задач макрорегионов.</w:t>
            </w:r>
          </w:p>
        </w:tc>
      </w:tr>
      <w:tr>
        <w:trPr>
          <w:cantSplit/>
        </w:trPr>
        <w:tc>
          <w:tcPr>
            <w:tcW w:type="dxa" w:w="28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НИИ и подразделения</w:t>
            </w:r>
          </w:p>
        </w:tc>
        <w:tc>
          <w:tcPr>
            <w:tcW w:type="dxa" w:w="65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Институты, отделы, лаборатории, секторы и группы — непосредственное исследование.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7" w:space="0" w:color="B7791F"/>
          <w:left w:val="single" w:sz="7" w:space="0" w:color="B7791F"/>
          <w:bottom w:val="single" w:sz="7" w:space="0" w:color="B7791F"/>
          <w:right w:val="single" w:sz="7" w:space="0" w:color="B7791F"/>
          <w:insideH w:val="single" w:sz="7" w:space="0" w:color="B7791F"/>
          <w:insideV w:val="single" w:sz="7" w:space="0" w:color="B7791F"/>
        </w:tblBorders>
      </w:tblPr>
      <w:tblGrid>
        <w:gridCol w:w="9360"/>
      </w:tblGrid>
      <w:tr>
        <w:trPr>
          <w:tblHeader w:val="true"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1CC"/>
          </w:tcPr>
          <w:p>
            <w:pPr>
              <w:spacing w:after="80"/>
            </w:pPr>
            <w:r>
              <w:rPr>
                <w:rFonts w:ascii="Calibri" w:hAnsi="Calibri" w:eastAsia="Calibri" w:cs="Calibri"/>
                <w:b/>
                <w:i w:val="0"/>
                <w:color w:val="B7791F"/>
                <w:sz w:val="22"/>
              </w:rPr>
              <w:t>Историческая оговорка</w:t>
            </w:r>
          </w:p>
          <w:p>
            <w:pPr>
              <w:spacing w:after="0" w:line="283" w:lineRule="auto"/>
            </w:pPr>
            <w:r>
              <w:rPr>
                <w:rFonts w:ascii="Calibri" w:hAnsi="Calibri" w:eastAsia="Calibri" w:cs="Calibri"/>
                <w:b w:val="0"/>
                <w:i w:val="0"/>
                <w:color w:val="1F2937"/>
                <w:sz w:val="20"/>
              </w:rPr>
              <w:t>Приведённая схема — аналитический срез зрелой системы, а не неизменная структура на всём советском периоде. Реестр наследия обязан хранить даты действия названий, реорганизации и источники подтверждения.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04</w:t>
      </w:r>
    </w:p>
    <w:p>
      <w:pPr>
        <w:pStyle w:val="Heading1"/>
      </w:pPr>
      <w:r>
        <w:t>Дисциплинарные отделения и региональные контуры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Нормативный снимок 1963 года показывает сочетание научно-отраслевого и территориального принципов.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3000"/>
        <w:gridCol w:w="6360"/>
      </w:tblGrid>
      <w:tr>
        <w:trPr>
          <w:tblHeader w:val="true"/>
          <w:cantSplit/>
        </w:trP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Секция по Уставу 1963 года</w:t>
            </w:r>
          </w:p>
        </w:tc>
        <w:tc>
          <w:tcPr>
            <w:tcW w:type="dxa" w:w="6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Отделения</w:t>
            </w:r>
          </w:p>
        </w:tc>
      </w:tr>
      <w:tr>
        <w:trPr>
          <w:cantSplit/>
        </w:trPr>
        <w:tc>
          <w:tcPr>
            <w:tcW w:type="dxa" w:w="30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Физико-технические и математические науки</w:t>
            </w:r>
          </w:p>
        </w:tc>
        <w:tc>
          <w:tcPr>
            <w:tcW w:type="dxa" w:w="63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Математика; общая физика и астрономия; ядерная физика; физико-технические проблемы энергетики; механика и процессы управления.</w:t>
            </w:r>
          </w:p>
        </w:tc>
      </w:tr>
      <w:tr>
        <w:trPr>
          <w:cantSplit/>
        </w:trPr>
        <w:tc>
          <w:tcPr>
            <w:tcW w:type="dxa" w:w="30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Химико-технологические и биологические науки</w:t>
            </w:r>
          </w:p>
        </w:tc>
        <w:tc>
          <w:tcPr>
            <w:tcW w:type="dxa" w:w="63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Общая и техническая химия; физико-химия и технология неорганических материалов; биохимия, биофизика и химия физиологически активных соединений; физиология; общая биология.</w:t>
            </w:r>
          </w:p>
        </w:tc>
      </w:tr>
      <w:tr>
        <w:trPr>
          <w:cantSplit/>
        </w:trPr>
        <w:tc>
          <w:tcPr>
            <w:tcW w:type="dxa" w:w="30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Науки о Земле</w:t>
            </w:r>
          </w:p>
        </w:tc>
        <w:tc>
          <w:tcPr>
            <w:tcW w:type="dxa" w:w="63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Геология, геофизика и геохимия; океанология, физика атмосферы и география.</w:t>
            </w:r>
          </w:p>
        </w:tc>
      </w:tr>
      <w:tr>
        <w:trPr>
          <w:cantSplit/>
        </w:trPr>
        <w:tc>
          <w:tcPr>
            <w:tcW w:type="dxa" w:w="30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Общественные науки</w:t>
            </w:r>
          </w:p>
        </w:tc>
        <w:tc>
          <w:tcPr>
            <w:tcW w:type="dxa" w:w="63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История; философия и право; экономика; литература и язык.</w:t>
            </w:r>
          </w:p>
        </w:tc>
      </w:tr>
    </w:tbl>
    <w:p>
      <w:pPr>
        <w:pStyle w:val="Heading2"/>
      </w:pPr>
      <w:r>
        <w:rPr>
          <w:rFonts w:ascii="Calibri" w:hAnsi="Calibri" w:eastAsia="Calibri" w:cs="Calibri"/>
          <w:b w:val="0"/>
          <w:i w:val="0"/>
          <w:color w:val="1F2937"/>
          <w:sz w:val="22"/>
        </w:rPr>
        <w:t>Территориальная логика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2500"/>
        <w:gridCol w:w="6860"/>
      </w:tblGrid>
      <w:tr>
        <w:trPr>
          <w:tblHeader w:val="true"/>
          <w:cantSplit/>
        </w:trP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Контур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Значение</w:t>
            </w:r>
          </w:p>
        </w:tc>
      </w:tr>
      <w:tr>
        <w:trPr>
          <w:cantSplit/>
        </w:trPr>
        <w:tc>
          <w:tcPr>
            <w:tcW w:type="dxa" w:w="25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Центральные центры</w:t>
            </w:r>
          </w:p>
        </w:tc>
        <w:tc>
          <w:tcPr>
            <w:tcW w:type="dxa" w:w="68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Москва — Президиум и значительная часть институтов; Ленинград — крупный комплекс институтов, Библиотека и архивные учреждения. Ленинградский научный центр создан в 1983 году.</w:t>
            </w:r>
          </w:p>
        </w:tc>
      </w:tr>
      <w:tr>
        <w:trPr>
          <w:cantSplit/>
        </w:trPr>
        <w:tc>
          <w:tcPr>
            <w:tcW w:type="dxa" w:w="25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Сибирское отделение</w:t>
            </w:r>
          </w:p>
        </w:tc>
        <w:tc>
          <w:tcPr>
            <w:tcW w:type="dxa" w:w="68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Создано в 1957 году. Принципы: комплексность исследований, практическая реализация, подготовка кадров. Новосибирский Академгородок — ядро широкой региональной сети. [H4]</w:t>
            </w:r>
          </w:p>
        </w:tc>
      </w:tr>
      <w:tr>
        <w:trPr>
          <w:cantSplit/>
        </w:trPr>
        <w:tc>
          <w:tcPr>
            <w:tcW w:type="dxa" w:w="25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Уральское отделение</w:t>
            </w:r>
          </w:p>
        </w:tc>
        <w:tc>
          <w:tcPr>
            <w:tcW w:type="dxa" w:w="68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Филиал с 1932 года → научный центр с 1971 года → отделение с 1987 года. Связь фундаментальной науки, ресурсов, промышленности и региональных задач. [H5]</w:t>
            </w:r>
          </w:p>
        </w:tc>
      </w:tr>
      <w:tr>
        <w:trPr>
          <w:cantSplit/>
        </w:trPr>
        <w:tc>
          <w:tcPr>
            <w:tcW w:type="dxa" w:w="25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Дальневосточное отделение</w:t>
            </w:r>
          </w:p>
        </w:tc>
        <w:tc>
          <w:tcPr>
            <w:tcW w:type="dxa" w:w="68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Филиал в составе СО АН СССР → научный центр с 1970 года → отделение с 1987 года. Океан, биоресурсы, геология, сейсмичность и развитие макрорегиона. [H6]</w:t>
            </w:r>
          </w:p>
        </w:tc>
      </w:tr>
      <w:tr>
        <w:trPr>
          <w:cantSplit/>
        </w:trPr>
        <w:tc>
          <w:tcPr>
            <w:tcW w:type="dxa" w:w="25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Специализированные центры</w:t>
            </w:r>
          </w:p>
        </w:tc>
        <w:tc>
          <w:tcPr>
            <w:tcW w:type="dxa" w:w="68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Пущино, Черноголовка, Троицк: территориальные кластеры самостоятельных институтов и общей инфраструктуры.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7" w:space="0" w:color="B7791F"/>
          <w:left w:val="single" w:sz="7" w:space="0" w:color="B7791F"/>
          <w:bottom w:val="single" w:sz="7" w:space="0" w:color="B7791F"/>
          <w:right w:val="single" w:sz="7" w:space="0" w:color="B7791F"/>
          <w:insideH w:val="single" w:sz="7" w:space="0" w:color="B7791F"/>
          <w:insideV w:val="single" w:sz="7" w:space="0" w:color="B7791F"/>
        </w:tblBorders>
      </w:tblPr>
      <w:tblGrid>
        <w:gridCol w:w="9360"/>
      </w:tblGrid>
      <w:tr>
        <w:trPr>
          <w:tblHeader w:val="true"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1CC"/>
          </w:tcPr>
          <w:p>
            <w:pPr>
              <w:spacing w:after="80"/>
            </w:pPr>
            <w:r>
              <w:rPr>
                <w:rFonts w:ascii="Calibri" w:hAnsi="Calibri" w:eastAsia="Calibri" w:cs="Calibri"/>
                <w:b/>
                <w:i w:val="0"/>
                <w:color w:val="B7791F"/>
                <w:sz w:val="22"/>
              </w:rPr>
              <w:t>Разграничение</w:t>
            </w:r>
          </w:p>
          <w:p>
            <w:pPr>
              <w:spacing w:after="0" w:line="283" w:lineRule="auto"/>
            </w:pPr>
            <w:r>
              <w:rPr>
                <w:rFonts w:ascii="Calibri" w:hAnsi="Calibri" w:eastAsia="Calibri" w:cs="Calibri"/>
                <w:b w:val="0"/>
                <w:i w:val="0"/>
                <w:color w:val="1F2937"/>
                <w:sz w:val="20"/>
              </w:rPr>
              <w:t>Академии союзных республик не были филиалами АН СССР. Исторически точнее фиксировать отношения «координируется», «участвует в общесоюзной программе» и «подчиняется республиканскому органу», а не простую вертикаль собственности.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05</w:t>
      </w:r>
    </w:p>
    <w:p>
      <w:pPr>
        <w:pStyle w:val="Heading1"/>
      </w:pPr>
      <w:r>
        <w:t>Общая инфраструктура зрелой академической системы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Долгий научный цикл поддерживали не только институты, но и общие объекты, сервисы и кадры.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2600"/>
        <w:gridCol w:w="6760"/>
      </w:tblGrid>
      <w:tr>
        <w:trPr>
          <w:tblHeader w:val="true"/>
          <w:cantSplit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Контур</w:t>
            </w:r>
          </w:p>
        </w:tc>
        <w:tc>
          <w:tcPr>
            <w:tcW w:type="dxa" w:w="6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Состав</w:t>
            </w:r>
          </w:p>
        </w:tc>
      </w:tr>
      <w:tr>
        <w:trPr>
          <w:cantSplit/>
        </w:trPr>
        <w:tc>
          <w:tcPr>
            <w:tcW w:type="dxa" w:w="26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Экспериментальная</w:t>
            </w:r>
          </w:p>
        </w:tc>
        <w:tc>
          <w:tcPr>
            <w:tcW w:type="dxa" w:w="67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Уникальные установки, обсерватории, полигоны, станции, стационары, флот, экспедиции, коллекции.</w:t>
            </w:r>
          </w:p>
        </w:tc>
      </w:tr>
      <w:tr>
        <w:trPr>
          <w:cantSplit/>
        </w:trPr>
        <w:tc>
          <w:tcPr>
            <w:tcW w:type="dxa" w:w="26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Вычислительная</w:t>
            </w:r>
          </w:p>
        </w:tc>
        <w:tc>
          <w:tcPr>
            <w:tcW w:type="dxa" w:w="67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Вычислительные центры и машинные комплексы для моделирования, алгоритмов и коллективного доступа.</w:t>
            </w:r>
          </w:p>
        </w:tc>
      </w:tr>
      <w:tr>
        <w:trPr>
          <w:cantSplit/>
        </w:trPr>
        <w:tc>
          <w:tcPr>
            <w:tcW w:type="dxa" w:w="26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Инженерно-внедренческая</w:t>
            </w:r>
          </w:p>
        </w:tc>
        <w:tc>
          <w:tcPr>
            <w:tcW w:type="dxa" w:w="67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СКБ, конструкторско-технологические институты, опытные заводы и экспериментальные производства.</w:t>
            </w:r>
          </w:p>
        </w:tc>
      </w:tr>
      <w:tr>
        <w:trPr>
          <w:cantSplit/>
        </w:trPr>
        <w:tc>
          <w:tcPr>
            <w:tcW w:type="dxa" w:w="26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Информационная и память</w:t>
            </w:r>
          </w:p>
        </w:tc>
        <w:tc>
          <w:tcPr>
            <w:tcW w:type="dxa" w:w="67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Библиотеки, архивы, музеи, коллекции, каталоги, справочные и библиографические системы.</w:t>
            </w:r>
          </w:p>
        </w:tc>
      </w:tr>
      <w:tr>
        <w:trPr>
          <w:cantSplit/>
        </w:trPr>
        <w:tc>
          <w:tcPr>
            <w:tcW w:type="dxa" w:w="26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Издательская</w:t>
            </w:r>
          </w:p>
        </w:tc>
        <w:tc>
          <w:tcPr>
            <w:tcW w:type="dxa" w:w="67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Редакционно-издательский совет, журналы, издательство «Наука», типографии, распространение.</w:t>
            </w:r>
          </w:p>
        </w:tc>
      </w:tr>
      <w:tr>
        <w:trPr>
          <w:cantSplit/>
        </w:trPr>
        <w:tc>
          <w:tcPr>
            <w:tcW w:type="dxa" w:w="26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Кадровая и образовательная</w:t>
            </w:r>
          </w:p>
        </w:tc>
        <w:tc>
          <w:tcPr>
            <w:tcW w:type="dxa" w:w="67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Аспирантура, базовые кафедры, университеты, специализированные школы и научные семинары.</w:t>
            </w:r>
          </w:p>
        </w:tc>
      </w:tr>
      <w:tr>
        <w:trPr>
          <w:cantSplit/>
        </w:trPr>
        <w:tc>
          <w:tcPr>
            <w:tcW w:type="dxa" w:w="26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Территориально-бытовая</w:t>
            </w:r>
          </w:p>
        </w:tc>
        <w:tc>
          <w:tcPr>
            <w:tcW w:type="dxa" w:w="67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Академгородки, жильё, медицина, транспорт и хозяйственные службы — обеспечивающий контур.</w:t>
            </w:r>
          </w:p>
        </w:tc>
      </w:tr>
    </w:tbl>
    <w:p>
      <w:pPr>
        <w:pStyle w:val="Heading2"/>
      </w:pPr>
      <w:r>
        <w:rPr>
          <w:rFonts w:ascii="Calibri" w:hAnsi="Calibri" w:eastAsia="Calibri" w:cs="Calibri"/>
          <w:b w:val="0"/>
          <w:i w:val="0"/>
          <w:color w:val="1F2937"/>
          <w:sz w:val="22"/>
        </w:rPr>
        <w:t>Функциональная формула наследия</w:t>
      </w:r>
    </w:p>
    <w:p>
      <w:pPr>
        <w:pStyle w:val="QuoteBox"/>
      </w:pPr>
      <w:r>
        <w:rPr>
          <w:rFonts w:ascii="Calibri" w:hAnsi="Calibri" w:eastAsia="Calibri" w:cs="Calibri"/>
          <w:b/>
          <w:i w:val="0"/>
          <w:color w:val="17365D"/>
          <w:sz w:val="24"/>
        </w:rPr>
        <w:t>научная школа → фундаментальное исследование → экспериментальная база → конструкторская разработка → опытный образец → внедрение → новые исследовательские задачи</w:t>
      </w:r>
    </w:p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06</w:t>
      </w:r>
    </w:p>
    <w:p>
      <w:pPr>
        <w:pStyle w:val="Heading1"/>
      </w:pPr>
      <w:r>
        <w:t>Что сохранить, модернизировать и не воспроизводить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Историческое наследие используется как набор проверяемых организационных принципов, а не как готовая административная форма.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2200"/>
        <w:gridCol w:w="7160"/>
      </w:tblGrid>
      <w:tr>
        <w:trPr>
          <w:tblHeader w:val="true"/>
          <w:cantSplit/>
        </w:trP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Режим</w:t>
            </w:r>
          </w:p>
        </w:tc>
        <w:tc>
          <w:tcPr>
            <w:tcW w:type="dxa" w:w="7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Решение</w:t>
            </w:r>
          </w:p>
        </w:tc>
      </w:tr>
      <w:tr>
        <w:trPr>
          <w:cantSplit/>
        </w:trPr>
        <w:tc>
          <w:tcPr>
            <w:tcW w:type="dxa" w:w="2200"/>
            <w:shd w:fill="E4F2E8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20"/>
              </w:rPr>
              <w:t>Сохранить</w:t>
            </w:r>
          </w:p>
        </w:tc>
        <w:tc>
          <w:tcPr>
            <w:tcW w:type="dxa" w:w="7160"/>
            <w:shd w:fill="E4F2E8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20"/>
              </w:rPr>
              <w:t>Длинный горизонт; научные школы; фундаментальные исследования; междисциплинарные программы; региональные базы; общие установки; библиотеки и архивы; связь науки, инженерии и образования.</w:t>
            </w:r>
          </w:p>
        </w:tc>
      </w:tr>
      <w:tr>
        <w:trPr>
          <w:cantSplit/>
        </w:trPr>
        <w:tc>
          <w:tcPr>
            <w:tcW w:type="dxa" w:w="2200"/>
            <w:shd w:fill="EAF3F8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20"/>
              </w:rPr>
              <w:t>Модернизировать</w:t>
            </w:r>
          </w:p>
        </w:tc>
        <w:tc>
          <w:tcPr>
            <w:tcW w:type="dxa" w:w="7160"/>
            <w:shd w:fill="EAF3F8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20"/>
              </w:rPr>
              <w:t>Федеративная сеть вместо единого ведомственного контура; открытые стандарты метаданных; независимая экспертиза; цифровая прослеживаемость; прозрачное финансирование; международная совместимость.</w:t>
            </w:r>
          </w:p>
        </w:tc>
      </w:tr>
      <w:tr>
        <w:trPr>
          <w:cantSplit/>
        </w:trPr>
        <w:tc>
          <w:tcPr>
            <w:tcW w:type="dxa" w:w="2200"/>
            <w:shd w:fill="FDE4E4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20"/>
              </w:rPr>
              <w:t>Не воспроизводить</w:t>
            </w:r>
          </w:p>
        </w:tc>
        <w:tc>
          <w:tcPr>
            <w:tcW w:type="dxa" w:w="7160"/>
            <w:shd w:fill="FDE4E4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20"/>
              </w:rPr>
              <w:t>Административную монополию; политическую зависимость научной оценки; закрытые назначения; непрозрачное распределение ресурсов; формальные KPI; запрет научного несогласия.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7" w:space="0" w:color="B7791F"/>
          <w:left w:val="single" w:sz="7" w:space="0" w:color="B7791F"/>
          <w:bottom w:val="single" w:sz="7" w:space="0" w:color="B7791F"/>
          <w:right w:val="single" w:sz="7" w:space="0" w:color="B7791F"/>
          <w:insideH w:val="single" w:sz="7" w:space="0" w:color="B7791F"/>
          <w:insideV w:val="single" w:sz="7" w:space="0" w:color="B7791F"/>
        </w:tblBorders>
      </w:tblPr>
      <w:tblGrid>
        <w:gridCol w:w="9360"/>
      </w:tblGrid>
      <w:tr>
        <w:trPr>
          <w:tblHeader w:val="true"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1CC"/>
          </w:tcPr>
          <w:p>
            <w:pPr>
              <w:spacing w:after="80"/>
            </w:pPr>
            <w:r>
              <w:rPr>
                <w:rFonts w:ascii="Calibri" w:hAnsi="Calibri" w:eastAsia="Calibri" w:cs="Calibri"/>
                <w:b/>
                <w:i w:val="0"/>
                <w:color w:val="B7791F"/>
                <w:sz w:val="22"/>
              </w:rPr>
              <w:t>Юридически безопасная позиция</w:t>
            </w:r>
          </w:p>
          <w:p>
            <w:pPr>
              <w:spacing w:after="0" w:line="283" w:lineRule="auto"/>
            </w:pPr>
            <w:r>
              <w:rPr>
                <w:rFonts w:ascii="Calibri" w:hAnsi="Calibri" w:eastAsia="Calibri" w:cs="Calibri"/>
                <w:b w:val="0"/>
                <w:i w:val="0"/>
                <w:color w:val="1F2937"/>
                <w:sz w:val="20"/>
              </w:rPr>
              <w:t>Проект «Возрождение Земли — Академические реестры» использует и реконструирует организационное, научное и культурное наследие АН СССР. Он не является юридическим продолжением или правопреемником АН СССР, РАН либо национальных академий бывших союзных республик без специального нормативного акта и доказанной преемственности по конкретным организациям, активам и фондам.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07</w:t>
      </w:r>
    </w:p>
    <w:p>
      <w:pPr>
        <w:pStyle w:val="Heading1"/>
      </w:pPr>
      <w:r>
        <w:t>Доктрина «Возрождение Земли»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Объект управления — не отдельная отрасль, а состояние природных и антропогенных систем территории.</w:t>
      </w:r>
    </w:p>
    <w:p>
      <w:r>
        <w:rPr>
          <w:rFonts w:ascii="Calibri" w:hAnsi="Calibri" w:eastAsia="Calibri" w:cs="Calibri"/>
          <w:b w:val="0"/>
          <w:i w:val="0"/>
          <w:color w:val="1F2937"/>
          <w:sz w:val="22"/>
        </w:rPr>
        <w:t>Миссия программы — создавать научно обоснованные, проверяемые и масштабируемые решения для восстановления природных систем, устойчивости инфраструктуры и качества жизни. Каждая цель переводится в наблюдаемые показатели состояния атмосферы, вод, почв, биоразнообразия, здоровья среды, ресурсной эффективности и техногенных рисков.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2200"/>
        <w:gridCol w:w="7160"/>
      </w:tblGrid>
      <w:tr>
        <w:trPr>
          <w:tblHeader w:val="true"/>
          <w:cantSplit/>
        </w:trP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Принцип</w:t>
            </w:r>
          </w:p>
        </w:tc>
        <w:tc>
          <w:tcPr>
            <w:tcW w:type="dxa" w:w="7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Практическое правило</w:t>
            </w:r>
          </w:p>
        </w:tc>
      </w:tr>
      <w:tr>
        <w:trPr>
          <w:cantSplit/>
        </w:trPr>
        <w:tc>
          <w:tcPr>
            <w:tcW w:type="dxa" w:w="22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Системность</w:t>
            </w:r>
          </w:p>
        </w:tc>
        <w:tc>
          <w:tcPr>
            <w:tcW w:type="dxa" w:w="71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Решение оценивается по полному набору взаимосвязанных последствий, включая перенос риска между средами и территориями.</w:t>
            </w:r>
          </w:p>
        </w:tc>
      </w:tr>
      <w:tr>
        <w:trPr>
          <w:cantSplit/>
        </w:trPr>
        <w:tc>
          <w:tcPr>
            <w:tcW w:type="dxa" w:w="22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Доказательность</w:t>
            </w:r>
          </w:p>
        </w:tc>
        <w:tc>
          <w:tcPr>
            <w:tcW w:type="dxa" w:w="71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Источник, метод, данные, неопределённость и независимая проверка фиксируются вместе с выводом.</w:t>
            </w:r>
          </w:p>
        </w:tc>
      </w:tr>
      <w:tr>
        <w:trPr>
          <w:cantSplit/>
        </w:trPr>
        <w:tc>
          <w:tcPr>
            <w:tcW w:type="dxa" w:w="22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Территориальность</w:t>
            </w:r>
          </w:p>
        </w:tc>
        <w:tc>
          <w:tcPr>
            <w:tcW w:type="dxa" w:w="71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Программы начинаются с паспорта территории и исходной линии, а не с заранее выбранной технологии.</w:t>
            </w:r>
          </w:p>
        </w:tc>
      </w:tr>
      <w:tr>
        <w:trPr>
          <w:cantSplit/>
        </w:trPr>
        <w:tc>
          <w:tcPr>
            <w:tcW w:type="dxa" w:w="22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Воспроизводимость</w:t>
            </w:r>
          </w:p>
        </w:tc>
        <w:tc>
          <w:tcPr>
            <w:tcW w:type="dxa" w:w="71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Пилот становится основой масштабирования только после описания условий применимости и повторной проверки.</w:t>
            </w:r>
          </w:p>
        </w:tc>
      </w:tr>
      <w:tr>
        <w:trPr>
          <w:cantSplit/>
        </w:trPr>
        <w:tc>
          <w:tcPr>
            <w:tcW w:type="dxa" w:w="22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Открытость по умолчанию</w:t>
            </w:r>
          </w:p>
        </w:tc>
        <w:tc>
          <w:tcPr>
            <w:tcW w:type="dxa" w:w="71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Метаданные и результаты открыты настолько, насколько позволяют право, безопасность и этика.</w:t>
            </w:r>
          </w:p>
        </w:tc>
      </w:tr>
      <w:tr>
        <w:trPr>
          <w:cantSplit/>
        </w:trPr>
        <w:tc>
          <w:tcPr>
            <w:tcW w:type="dxa" w:w="22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Научная свобода</w:t>
            </w:r>
          </w:p>
        </w:tc>
        <w:tc>
          <w:tcPr>
            <w:tcW w:type="dxa" w:w="71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Реестр сохраняет конкурирующие гипотезы и статус спора; административный статус не объявляет научную истину.</w:t>
            </w:r>
          </w:p>
        </w:tc>
      </w:tr>
    </w:tbl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08</w:t>
      </w:r>
    </w:p>
    <w:p>
      <w:pPr>
        <w:pStyle w:val="Heading1"/>
      </w:pPr>
      <w:r>
        <w:t>Целевая архитектура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Три уровня связывают институты, программы и доказательства.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2850"/>
        <w:gridCol w:w="6510"/>
      </w:tblGrid>
      <w:tr>
        <w:trPr>
          <w:tblHeader w:val="true"/>
          <w:cantSplit/>
        </w:trPr>
        <w:tc>
          <w:tcPr>
            <w:tcW w:type="dxa" w:w="2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Уровень</w:t>
            </w:r>
          </w:p>
        </w:tc>
        <w:tc>
          <w:tcPr>
            <w:tcW w:type="dxa" w:w="65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Функция</w:t>
            </w:r>
          </w:p>
        </w:tc>
      </w:tr>
      <w:tr>
        <w:trPr>
          <w:cantSplit/>
        </w:trPr>
        <w:tc>
          <w:tcPr>
            <w:tcW w:type="dxa" w:w="2850"/>
            <w:shd w:fill="EAF3F8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20"/>
              </w:rPr>
              <w:t>I. Институциональный уровень</w:t>
            </w:r>
          </w:p>
        </w:tc>
        <w:tc>
          <w:tcPr>
            <w:tcW w:type="dxa" w:w="6510"/>
            <w:shd w:fill="EAF3F8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20"/>
              </w:rPr>
              <w:t>Профильные институтские контуры, научные школы, отделения, территориальные центры, лаборатории, ЦКП, коллекции и кадровые программы.</w:t>
            </w:r>
          </w:p>
        </w:tc>
      </w:tr>
      <w:tr>
        <w:trPr>
          <w:cantSplit/>
        </w:trPr>
        <w:tc>
          <w:tcPr>
            <w:tcW w:type="dxa" w:w="28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20"/>
              </w:rPr>
              <w:t>II. Программный уровень</w:t>
            </w:r>
          </w:p>
        </w:tc>
        <w:tc>
          <w:tcPr>
            <w:tcW w:type="dxa" w:w="651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20"/>
              </w:rPr>
              <w:t>Миссионные программы, проекты, консорциумы, полигоны, соглашения, ресурсы, сроки, риски и показатели результата.</w:t>
            </w:r>
          </w:p>
        </w:tc>
      </w:tr>
      <w:tr>
        <w:trPr>
          <w:cantSplit/>
        </w:trPr>
        <w:tc>
          <w:tcPr>
            <w:tcW w:type="dxa" w:w="2850"/>
            <w:shd w:fill="DDEB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20"/>
              </w:rPr>
              <w:t>III. Реестровый уровень</w:t>
            </w:r>
          </w:p>
        </w:tc>
        <w:tc>
          <w:tcPr>
            <w:tcW w:type="dxa" w:w="6510"/>
            <w:shd w:fill="DDEB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20"/>
              </w:rPr>
              <w:t>16 академических реестров, единое ядро идентификаторов, классификаторов, паспортов, доказательности, версий и доступа.</w:t>
            </w:r>
          </w:p>
        </w:tc>
      </w:tr>
    </w:tbl>
    <w:p>
      <w:pPr>
        <w:pStyle w:val="Heading2"/>
      </w:pPr>
      <w:r>
        <w:rPr>
          <w:rFonts w:ascii="Calibri" w:hAnsi="Calibri" w:eastAsia="Calibri" w:cs="Calibri"/>
          <w:b w:val="0"/>
          <w:i w:val="0"/>
          <w:color w:val="1F2937"/>
          <w:sz w:val="22"/>
        </w:rPr>
        <w:t>Федеративный принцип</w:t>
      </w:r>
    </w:p>
    <w:p>
      <w:pPr>
        <w:pStyle w:val="ListBullet"/>
        <w:keepLines/>
        <w:spacing w:after="60" w:line="288" w:lineRule="auto"/>
      </w:pPr>
      <w:r>
        <w:rPr>
          <w:rFonts w:ascii="Calibri" w:hAnsi="Calibri" w:eastAsia="Calibri" w:cs="Calibri"/>
          <w:b w:val="0"/>
          <w:i w:val="0"/>
          <w:color w:val="1F2937"/>
          <w:sz w:val="21"/>
        </w:rPr>
        <w:t>Институты сохраняют ответственность за первичные данные и доменную экспертизу.</w:t>
      </w:r>
    </w:p>
    <w:p>
      <w:pPr>
        <w:pStyle w:val="ListBullet"/>
        <w:keepLines/>
        <w:spacing w:after="60" w:line="288" w:lineRule="auto"/>
      </w:pPr>
      <w:r>
        <w:rPr>
          <w:rFonts w:ascii="Calibri" w:hAnsi="Calibri" w:eastAsia="Calibri" w:cs="Calibri"/>
          <w:b w:val="0"/>
          <w:i w:val="0"/>
          <w:color w:val="1F2937"/>
          <w:sz w:val="21"/>
        </w:rPr>
        <w:t>Единое академическое ядро задаёт идентификаторы, классификаторы и процедуры доверия.</w:t>
      </w:r>
    </w:p>
    <w:p>
      <w:pPr>
        <w:pStyle w:val="ListBullet"/>
        <w:keepLines/>
        <w:spacing w:after="60" w:line="288" w:lineRule="auto"/>
      </w:pPr>
      <w:r>
        <w:rPr>
          <w:rFonts w:ascii="Calibri" w:hAnsi="Calibri" w:eastAsia="Calibri" w:cs="Calibri"/>
          <w:b w:val="0"/>
          <w:i w:val="0"/>
          <w:color w:val="1F2937"/>
          <w:sz w:val="21"/>
        </w:rPr>
        <w:t>Метаданные индексируются централизованно; закрытые или крупные данные могут оставаться у владельца.</w:t>
      </w:r>
    </w:p>
    <w:p>
      <w:pPr>
        <w:pStyle w:val="ListBullet"/>
        <w:keepLines/>
        <w:spacing w:after="60" w:line="288" w:lineRule="auto"/>
      </w:pPr>
      <w:r>
        <w:rPr>
          <w:rFonts w:ascii="Calibri" w:hAnsi="Calibri" w:eastAsia="Calibri" w:cs="Calibri"/>
          <w:b w:val="0"/>
          <w:i w:val="0"/>
          <w:color w:val="1F2937"/>
          <w:sz w:val="21"/>
        </w:rPr>
        <w:t>Оператор платформы обеспечивает доступность и интеграцию, но не меняет научные заключения.</w:t>
      </w:r>
    </w:p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09</w:t>
      </w:r>
    </w:p>
    <w:p>
      <w:pPr>
        <w:pStyle w:val="Heading1"/>
      </w:pPr>
      <w:r>
        <w:t>Институтская инфраструктура: 19 контуров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Это проектные профили компетенций. Они могут быть оформлены как новые институты, сетевые центры или межинститутские программы после отдельного решения.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2600"/>
        <w:gridCol w:w="6760"/>
      </w:tblGrid>
      <w:tr>
        <w:trPr>
          <w:tblHeader w:val="true"/>
          <w:cantSplit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Кластер</w:t>
            </w:r>
          </w:p>
        </w:tc>
        <w:tc>
          <w:tcPr>
            <w:tcW w:type="dxa" w:w="6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Институтские контуры</w:t>
            </w:r>
          </w:p>
        </w:tc>
      </w:tr>
      <w:tr>
        <w:trPr>
          <w:cantSplit/>
        </w:trPr>
        <w:tc>
          <w:tcPr>
            <w:tcW w:type="dxa" w:w="26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A. Система Земли</w:t>
            </w:r>
          </w:p>
        </w:tc>
        <w:tc>
          <w:tcPr>
            <w:tcW w:type="dxa" w:w="67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01 Системы Земли и геодинамика; 02 атмосфера и климат; 03 гидросфера и водные ресурсы; 04 почвы и землепользование; 05 биоразнообразие и биогеоценозы.</w:t>
            </w:r>
          </w:p>
        </w:tc>
      </w:tr>
      <w:tr>
        <w:trPr>
          <w:cantSplit/>
        </w:trPr>
        <w:tc>
          <w:tcPr>
            <w:tcW w:type="dxa" w:w="26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B. Экосистемы и здоровье</w:t>
            </w:r>
          </w:p>
        </w:tc>
        <w:tc>
          <w:tcPr>
            <w:tcW w:type="dxa" w:w="67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06 леса и ландшафты; 07 океан и криосфера; 08 экология человека и общественное здоровье; 09 агробиотехнологии и продовольствие.</w:t>
            </w:r>
          </w:p>
        </w:tc>
      </w:tr>
      <w:tr>
        <w:trPr>
          <w:cantSplit/>
        </w:trPr>
        <w:tc>
          <w:tcPr>
            <w:tcW w:type="dxa" w:w="26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C. Технологии среды</w:t>
            </w:r>
          </w:p>
        </w:tc>
        <w:tc>
          <w:tcPr>
            <w:tcW w:type="dxa" w:w="67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10 энергетика; 11 материалы и химические технологии; 12 города, строительство и инфраструктура; 13 транспорт и логистика; 14 робототехника и аэрокосмический мониторинг.</w:t>
            </w:r>
          </w:p>
        </w:tc>
      </w:tr>
      <w:tr>
        <w:trPr>
          <w:cantSplit/>
        </w:trPr>
        <w:tc>
          <w:tcPr>
            <w:tcW w:type="dxa" w:w="26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D. Цифровое управление</w:t>
            </w:r>
          </w:p>
        </w:tc>
        <w:tc>
          <w:tcPr>
            <w:tcW w:type="dxa" w:w="67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15 математика, ИИ и цифровые двойники; 16 экономика и управление; 17 право, стандарты и безопасность.</w:t>
            </w:r>
          </w:p>
        </w:tc>
      </w:tr>
      <w:tr>
        <w:trPr>
          <w:cantSplit/>
        </w:trPr>
        <w:tc>
          <w:tcPr>
            <w:tcW w:type="dxa" w:w="26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E. Цивилизация и преемственность</w:t>
            </w:r>
          </w:p>
        </w:tc>
        <w:tc>
          <w:tcPr>
            <w:tcW w:type="dxa" w:w="67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18 образование, культура и цивилизационные исследования; 19 наследие, архивы и управление знаниями.</w:t>
            </w:r>
          </w:p>
        </w:tc>
      </w:tr>
    </w:tbl>
    <w:p>
      <w:pPr>
        <w:pStyle w:val="Heading2"/>
      </w:pPr>
      <w:r>
        <w:rPr>
          <w:rFonts w:ascii="Calibri" w:hAnsi="Calibri" w:eastAsia="Calibri" w:cs="Calibri"/>
          <w:b w:val="0"/>
          <w:i w:val="0"/>
          <w:color w:val="1F2937"/>
          <w:sz w:val="22"/>
        </w:rPr>
        <w:t>Обязательные общие платформы</w:t>
      </w:r>
    </w:p>
    <w:p>
      <w:pPr>
        <w:pStyle w:val="ListBullet"/>
        <w:keepLines/>
        <w:spacing w:after="60" w:line="288" w:lineRule="auto"/>
      </w:pPr>
      <w:r>
        <w:rPr>
          <w:rFonts w:ascii="Calibri" w:hAnsi="Calibri" w:eastAsia="Calibri" w:cs="Calibri"/>
          <w:b w:val="0"/>
          <w:i w:val="0"/>
          <w:color w:val="1F2937"/>
          <w:sz w:val="21"/>
        </w:rPr>
        <w:t>центр коллективного пользования и метрологическая служба;</w:t>
      </w:r>
    </w:p>
    <w:p>
      <w:pPr>
        <w:pStyle w:val="ListBullet"/>
        <w:keepLines/>
        <w:spacing w:after="60" w:line="288" w:lineRule="auto"/>
      </w:pPr>
      <w:r>
        <w:rPr>
          <w:rFonts w:ascii="Calibri" w:hAnsi="Calibri" w:eastAsia="Calibri" w:cs="Calibri"/>
          <w:b w:val="0"/>
          <w:i w:val="0"/>
          <w:color w:val="1F2937"/>
          <w:sz w:val="21"/>
        </w:rPr>
        <w:t>единая библиотечно-архивная и публикационная инфраструктура;</w:t>
      </w:r>
    </w:p>
    <w:p>
      <w:pPr>
        <w:pStyle w:val="ListBullet"/>
        <w:keepLines/>
        <w:spacing w:after="60" w:line="288" w:lineRule="auto"/>
      </w:pPr>
      <w:r>
        <w:rPr>
          <w:rFonts w:ascii="Calibri" w:hAnsi="Calibri" w:eastAsia="Calibri" w:cs="Calibri"/>
          <w:b w:val="0"/>
          <w:i w:val="0"/>
          <w:color w:val="1F2937"/>
          <w:sz w:val="21"/>
        </w:rPr>
        <w:t>вычислительный центр, хранилища данных и геоинформационный контур;</w:t>
      </w:r>
    </w:p>
    <w:p>
      <w:pPr>
        <w:pStyle w:val="ListBullet"/>
        <w:keepLines/>
        <w:spacing w:after="60" w:line="288" w:lineRule="auto"/>
      </w:pPr>
      <w:r>
        <w:rPr>
          <w:rFonts w:ascii="Calibri" w:hAnsi="Calibri" w:eastAsia="Calibri" w:cs="Calibri"/>
          <w:b w:val="0"/>
          <w:i w:val="0"/>
          <w:color w:val="1F2937"/>
          <w:sz w:val="21"/>
        </w:rPr>
        <w:t>инженерно-конструкторская и опытно-производственная база;</w:t>
      </w:r>
    </w:p>
    <w:p>
      <w:pPr>
        <w:pStyle w:val="ListBullet"/>
        <w:keepLines/>
        <w:spacing w:after="60" w:line="288" w:lineRule="auto"/>
      </w:pPr>
      <w:r>
        <w:rPr>
          <w:rFonts w:ascii="Calibri" w:hAnsi="Calibri" w:eastAsia="Calibri" w:cs="Calibri"/>
          <w:b w:val="0"/>
          <w:i w:val="0"/>
          <w:color w:val="1F2937"/>
          <w:sz w:val="21"/>
        </w:rPr>
        <w:t>академическая аспирантура, базовые кафедры и школа научных руководителей;</w:t>
      </w:r>
    </w:p>
    <w:p>
      <w:pPr>
        <w:pStyle w:val="ListBullet"/>
        <w:keepLines/>
        <w:spacing w:after="60" w:line="288" w:lineRule="auto"/>
      </w:pPr>
      <w:r>
        <w:rPr>
          <w:rFonts w:ascii="Calibri" w:hAnsi="Calibri" w:eastAsia="Calibri" w:cs="Calibri"/>
          <w:b w:val="0"/>
          <w:i w:val="0"/>
          <w:color w:val="1F2937"/>
          <w:sz w:val="21"/>
        </w:rPr>
        <w:t>служба полевых работ, станций, экспедиций и долгосрочного мониторинга.</w:t>
      </w:r>
    </w:p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10</w:t>
      </w:r>
    </w:p>
    <w:p>
      <w:pPr>
        <w:pStyle w:val="Heading1"/>
      </w:pPr>
      <w:r>
        <w:t>Миссионные программы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Институтские контуры объединяются вокруг измеримой проблемы территории, а не только дисциплины.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900"/>
        <w:gridCol w:w="2500"/>
        <w:gridCol w:w="5960"/>
      </w:tblGrid>
      <w:tr>
        <w:trPr>
          <w:tblHeader w:val="true"/>
          <w:cantSplit/>
        </w:trPr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Код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Программа</w:t>
            </w:r>
          </w:p>
        </w:tc>
        <w:tc>
          <w:tcPr>
            <w:tcW w:type="dxa" w:w="5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Фокус</w:t>
            </w:r>
          </w:p>
        </w:tc>
      </w:tr>
      <w:tr>
        <w:trPr>
          <w:cantSplit/>
        </w:trPr>
        <w:tc>
          <w:tcPr>
            <w:tcW w:type="dxa" w:w="9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МП-01</w:t>
            </w:r>
          </w:p>
        </w:tc>
        <w:tc>
          <w:tcPr>
            <w:tcW w:type="dxa" w:w="25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Вода и бассейны</w:t>
            </w:r>
          </w:p>
        </w:tc>
        <w:tc>
          <w:tcPr>
            <w:tcW w:type="dxa" w:w="59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Качество воды, гидрологический режим, источники загрязнения, водообеспечение, восстановление рек и болот.</w:t>
            </w:r>
          </w:p>
        </w:tc>
      </w:tr>
      <w:tr>
        <w:trPr>
          <w:cantSplit/>
        </w:trPr>
        <w:tc>
          <w:tcPr>
            <w:tcW w:type="dxa" w:w="9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МП-02</w:t>
            </w:r>
          </w:p>
        </w:tc>
        <w:tc>
          <w:tcPr>
            <w:tcW w:type="dxa" w:w="25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Почвы и продуктивные ландшафты</w:t>
            </w:r>
          </w:p>
        </w:tc>
        <w:tc>
          <w:tcPr>
            <w:tcW w:type="dxa" w:w="59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Деградация, эрозия, плодородие, накопление углерода, рекультивация и устойчивое землепользование.</w:t>
            </w:r>
          </w:p>
        </w:tc>
      </w:tr>
      <w:tr>
        <w:trPr>
          <w:cantSplit/>
        </w:trPr>
        <w:tc>
          <w:tcPr>
            <w:tcW w:type="dxa" w:w="9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МП-03</w:t>
            </w:r>
          </w:p>
        </w:tc>
        <w:tc>
          <w:tcPr>
            <w:tcW w:type="dxa" w:w="25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Биоразнообразие и связность экосистем</w:t>
            </w:r>
          </w:p>
        </w:tc>
        <w:tc>
          <w:tcPr>
            <w:tcW w:type="dxa" w:w="59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Инвентаризация, охрана ключевых территорий, восстановление популяций и экологических коридоров.</w:t>
            </w:r>
          </w:p>
        </w:tc>
      </w:tr>
      <w:tr>
        <w:trPr>
          <w:cantSplit/>
        </w:trPr>
        <w:tc>
          <w:tcPr>
            <w:tcW w:type="dxa" w:w="9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МП-04</w:t>
            </w:r>
          </w:p>
        </w:tc>
        <w:tc>
          <w:tcPr>
            <w:tcW w:type="dxa" w:w="25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Климатическая адаптация</w:t>
            </w:r>
          </w:p>
        </w:tc>
        <w:tc>
          <w:tcPr>
            <w:tcW w:type="dxa" w:w="59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Экстремальные явления, лесные пожары, мерзлота, прибрежные риски, устойчивость городов и инфраструктуры.</w:t>
            </w:r>
          </w:p>
        </w:tc>
      </w:tr>
      <w:tr>
        <w:trPr>
          <w:cantSplit/>
        </w:trPr>
        <w:tc>
          <w:tcPr>
            <w:tcW w:type="dxa" w:w="9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МП-05</w:t>
            </w:r>
          </w:p>
        </w:tc>
        <w:tc>
          <w:tcPr>
            <w:tcW w:type="dxa" w:w="25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Промышленные территории и города</w:t>
            </w:r>
          </w:p>
        </w:tc>
        <w:tc>
          <w:tcPr>
            <w:tcW w:type="dxa" w:w="59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Накопленный ущерб, отходы, воздух, вода, материалы, энергоэффективность и безопасная конверсия.</w:t>
            </w:r>
          </w:p>
        </w:tc>
      </w:tr>
      <w:tr>
        <w:trPr>
          <w:cantSplit/>
        </w:trPr>
        <w:tc>
          <w:tcPr>
            <w:tcW w:type="dxa" w:w="9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МП-06</w:t>
            </w:r>
          </w:p>
        </w:tc>
        <w:tc>
          <w:tcPr>
            <w:tcW w:type="dxa" w:w="25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Здоровье среды и продовольственная устойчивость</w:t>
            </w:r>
          </w:p>
        </w:tc>
        <w:tc>
          <w:tcPr>
            <w:tcW w:type="dxa" w:w="59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Воздействие факторов среды на здоровье, безопасность продовольствия, агроэкосистемы и профилактика рисков.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7" w:space="0" w:color="2E74B5"/>
          <w:left w:val="single" w:sz="7" w:space="0" w:color="2E74B5"/>
          <w:bottom w:val="single" w:sz="7" w:space="0" w:color="2E74B5"/>
          <w:right w:val="single" w:sz="7" w:space="0" w:color="2E74B5"/>
          <w:insideH w:val="single" w:sz="7" w:space="0" w:color="2E74B5"/>
          <w:insideV w:val="single" w:sz="7" w:space="0" w:color="2E74B5"/>
        </w:tblBorders>
      </w:tblPr>
      <w:tblGrid>
        <w:gridCol w:w="9360"/>
      </w:tblGrid>
      <w:tr>
        <w:trPr>
          <w:tblHeader w:val="true"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3F8"/>
          </w:tcPr>
          <w:p>
            <w:pPr>
              <w:spacing w:after="80"/>
            </w:pPr>
            <w:r>
              <w:rPr>
                <w:rFonts w:ascii="Calibri" w:hAnsi="Calibri" w:eastAsia="Calibri" w:cs="Calibri"/>
                <w:b/>
                <w:i w:val="0"/>
                <w:color w:val="2E74B5"/>
                <w:sz w:val="22"/>
              </w:rPr>
              <w:t>Правило формирования программы</w:t>
            </w:r>
          </w:p>
          <w:p>
            <w:pPr>
              <w:spacing w:after="0" w:line="283" w:lineRule="auto"/>
            </w:pPr>
            <w:r>
              <w:rPr>
                <w:rFonts w:ascii="Calibri" w:hAnsi="Calibri" w:eastAsia="Calibri" w:cs="Calibri"/>
                <w:b w:val="0"/>
                <w:i w:val="0"/>
                <w:color w:val="1F2937"/>
                <w:sz w:val="20"/>
              </w:rPr>
              <w:t>Каждая миссия имеет паспорт проблемы, территорию, исходную линию, набор гипотез, портфель проектов, владельцев данных, стандарт измерений, бюджет, показатели результата и независимого верификатора.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11</w:t>
      </w:r>
    </w:p>
    <w:p>
      <w:pPr>
        <w:pStyle w:val="Heading1"/>
      </w:pPr>
      <w:r>
        <w:t>Академические реестры: 16 доменов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Не архив перечней, а связанная инфраструктура идентичности, происхождения и доказательности.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850"/>
        <w:gridCol w:w="2500"/>
        <w:gridCol w:w="6010"/>
      </w:tblGrid>
      <w:tr>
        <w:trPr>
          <w:tblHeader w:val="true"/>
          <w:cantSplit/>
        </w:trPr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Код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Реестр</w:t>
            </w:r>
          </w:p>
        </w:tc>
        <w:tc>
          <w:tcPr>
            <w:tcW w:type="dxa" w:w="6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Основное содержание</w:t>
            </w:r>
          </w:p>
        </w:tc>
      </w:tr>
      <w:tr>
        <w:trPr>
          <w:cantSplit/>
        </w:trPr>
        <w:tc>
          <w:tcPr>
            <w:tcW w:type="dxa" w:w="8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АР-01</w:t>
            </w:r>
          </w:p>
        </w:tc>
        <w:tc>
          <w:tcPr>
            <w:tcW w:type="dxa" w:w="25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Организации и подразделения</w:t>
            </w:r>
          </w:p>
        </w:tc>
        <w:tc>
          <w:tcPr>
            <w:tcW w:type="dxa" w:w="601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Академия, отделения, центры, институты, лаборатории, станции, филиалы; правовой статус, профиль и полномочия.</w:t>
            </w:r>
          </w:p>
        </w:tc>
      </w:tr>
      <w:tr>
        <w:trPr>
          <w:cantSplit/>
        </w:trPr>
        <w:tc>
          <w:tcPr>
            <w:tcW w:type="dxa" w:w="8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АР-02</w:t>
            </w:r>
          </w:p>
        </w:tc>
        <w:tc>
          <w:tcPr>
            <w:tcW w:type="dxa" w:w="25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Исследователи и коллективы</w:t>
            </w:r>
          </w:p>
        </w:tc>
        <w:tc>
          <w:tcPr>
            <w:tcW w:type="dxa" w:w="601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Компетенции, квалификация, научные школы, проектная и экспертная роль, конфликты интересов.</w:t>
            </w:r>
          </w:p>
        </w:tc>
      </w:tr>
      <w:tr>
        <w:trPr>
          <w:cantSplit/>
        </w:trPr>
        <w:tc>
          <w:tcPr>
            <w:tcW w:type="dxa" w:w="8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АР-03</w:t>
            </w:r>
          </w:p>
        </w:tc>
        <w:tc>
          <w:tcPr>
            <w:tcW w:type="dxa" w:w="25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Советы, школы и консорциумы</w:t>
            </w:r>
          </w:p>
        </w:tc>
        <w:tc>
          <w:tcPr>
            <w:tcW w:type="dxa" w:w="601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Советы, комиссии, междисциплинарные платформы и проектные консорциумы.</w:t>
            </w:r>
          </w:p>
        </w:tc>
      </w:tr>
      <w:tr>
        <w:trPr>
          <w:cantSplit/>
        </w:trPr>
        <w:tc>
          <w:tcPr>
            <w:tcW w:type="dxa" w:w="8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АР-04</w:t>
            </w:r>
          </w:p>
        </w:tc>
        <w:tc>
          <w:tcPr>
            <w:tcW w:type="dxa" w:w="25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Программы и проекты</w:t>
            </w:r>
          </w:p>
        </w:tc>
        <w:tc>
          <w:tcPr>
            <w:tcW w:type="dxa" w:w="601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Проблема, гипотезы, исполнители, этапы, зависимости, результаты, сроки и статус.</w:t>
            </w:r>
          </w:p>
        </w:tc>
      </w:tr>
      <w:tr>
        <w:trPr>
          <w:cantSplit/>
        </w:trPr>
        <w:tc>
          <w:tcPr>
            <w:tcW w:type="dxa" w:w="8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АР-05</w:t>
            </w:r>
          </w:p>
        </w:tc>
        <w:tc>
          <w:tcPr>
            <w:tcW w:type="dxa" w:w="25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Инфраструктура и оборудование</w:t>
            </w:r>
          </w:p>
        </w:tc>
        <w:tc>
          <w:tcPr>
            <w:tcW w:type="dxa" w:w="601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Лаборатории, установки, полигоны, суда, станции, ЦКП, калибровка и доступность.</w:t>
            </w:r>
          </w:p>
        </w:tc>
      </w:tr>
      <w:tr>
        <w:trPr>
          <w:cantSplit/>
        </w:trPr>
        <w:tc>
          <w:tcPr>
            <w:tcW w:type="dxa" w:w="8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АР-06</w:t>
            </w:r>
          </w:p>
        </w:tc>
        <w:tc>
          <w:tcPr>
            <w:tcW w:type="dxa" w:w="25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Финансирование и обязательства</w:t>
            </w:r>
          </w:p>
        </w:tc>
        <w:tc>
          <w:tcPr>
            <w:tcW w:type="dxa" w:w="601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Источники средств, лимиты, договоры, вклады, софинансирование и контроль исполнения.</w:t>
            </w:r>
          </w:p>
        </w:tc>
      </w:tr>
      <w:tr>
        <w:trPr>
          <w:cantSplit/>
        </w:trPr>
        <w:tc>
          <w:tcPr>
            <w:tcW w:type="dxa" w:w="8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АР-07</w:t>
            </w:r>
          </w:p>
        </w:tc>
        <w:tc>
          <w:tcPr>
            <w:tcW w:type="dxa" w:w="25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Методики и стандарты</w:t>
            </w:r>
          </w:p>
        </w:tc>
        <w:tc>
          <w:tcPr>
            <w:tcW w:type="dxa" w:w="601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Методы измерений, протоколы, стандарты качества, словари, онтологии, версии и применимость.</w:t>
            </w:r>
          </w:p>
        </w:tc>
      </w:tr>
      <w:tr>
        <w:trPr>
          <w:cantSplit/>
        </w:trPr>
        <w:tc>
          <w:tcPr>
            <w:tcW w:type="dxa" w:w="8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АР-08</w:t>
            </w:r>
          </w:p>
        </w:tc>
        <w:tc>
          <w:tcPr>
            <w:tcW w:type="dxa" w:w="25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Коллекции и образцы</w:t>
            </w:r>
          </w:p>
        </w:tc>
        <w:tc>
          <w:tcPr>
            <w:tcW w:type="dxa" w:w="601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Биологические, генетические, геологические, почвенные и иные коллекции; происхождение и сохранность.</w:t>
            </w:r>
          </w:p>
        </w:tc>
      </w:tr>
    </w:tbl>
    <w:p>
      <w:r>
        <w:br w:type="page"/>
      </w:r>
    </w:p>
    <w:p>
      <w:pPr>
        <w:pStyle w:val="Kicker"/>
      </w:pPr>
      <w:r>
        <w:t>РАЗДЕЛ 11 • ПРОДОЛЖЕНИЕ</w:t>
      </w:r>
    </w:p>
    <w:p>
      <w:pPr>
        <w:pStyle w:val="Heading1"/>
      </w:pPr>
      <w:r>
        <w:t>Реестры научного знания и практического действия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850"/>
        <w:gridCol w:w="2500"/>
        <w:gridCol w:w="6010"/>
      </w:tblGrid>
      <w:tr>
        <w:trPr>
          <w:tblHeader w:val="true"/>
          <w:cantSplit/>
        </w:trPr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Код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Реестр</w:t>
            </w:r>
          </w:p>
        </w:tc>
        <w:tc>
          <w:tcPr>
            <w:tcW w:type="dxa" w:w="6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Основное содержание</w:t>
            </w:r>
          </w:p>
        </w:tc>
      </w:tr>
      <w:tr>
        <w:trPr>
          <w:cantSplit/>
        </w:trPr>
        <w:tc>
          <w:tcPr>
            <w:tcW w:type="dxa" w:w="8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АР-09</w:t>
            </w:r>
          </w:p>
        </w:tc>
        <w:tc>
          <w:tcPr>
            <w:tcW w:type="dxa" w:w="25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Территории и экосистемы</w:t>
            </w:r>
          </w:p>
        </w:tc>
        <w:tc>
          <w:tcPr>
            <w:tcW w:type="dxa" w:w="601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Границы, тип системы, исходное состояние, режим использования, нагрузки и ответственные.</w:t>
            </w:r>
          </w:p>
        </w:tc>
      </w:tr>
      <w:tr>
        <w:trPr>
          <w:cantSplit/>
        </w:trPr>
        <w:tc>
          <w:tcPr>
            <w:tcW w:type="dxa" w:w="8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АР-10</w:t>
            </w:r>
          </w:p>
        </w:tc>
        <w:tc>
          <w:tcPr>
            <w:tcW w:type="dxa" w:w="25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Мониторинг и измерения</w:t>
            </w:r>
          </w:p>
        </w:tc>
        <w:tc>
          <w:tcPr>
            <w:tcW w:type="dxa" w:w="601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Пункты наблюдения, сенсоры, серии, периодичность, калибровка, качество, пропуски и неопределённость.</w:t>
            </w:r>
          </w:p>
        </w:tc>
      </w:tr>
      <w:tr>
        <w:trPr>
          <w:cantSplit/>
        </w:trPr>
        <w:tc>
          <w:tcPr>
            <w:tcW w:type="dxa" w:w="8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АР-11</w:t>
            </w:r>
          </w:p>
        </w:tc>
        <w:tc>
          <w:tcPr>
            <w:tcW w:type="dxa" w:w="25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Данные, модели и ПО</w:t>
            </w:r>
          </w:p>
        </w:tc>
        <w:tc>
          <w:tcPr>
            <w:tcW w:type="dxa" w:w="601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Источники, структура, версии, лицензии, входы и выходы, ограничения и валидация.</w:t>
            </w:r>
          </w:p>
        </w:tc>
      </w:tr>
      <w:tr>
        <w:trPr>
          <w:cantSplit/>
        </w:trPr>
        <w:tc>
          <w:tcPr>
            <w:tcW w:type="dxa" w:w="8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АР-12</w:t>
            </w:r>
          </w:p>
        </w:tc>
        <w:tc>
          <w:tcPr>
            <w:tcW w:type="dxa" w:w="25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Публикации и архивы</w:t>
            </w:r>
          </w:p>
        </w:tc>
        <w:tc>
          <w:tcPr>
            <w:tcW w:type="dxa" w:w="601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Статьи, отчёты, диссертации, карты, полевые журналы, архивные источники и рецензирование.</w:t>
            </w:r>
          </w:p>
        </w:tc>
      </w:tr>
      <w:tr>
        <w:trPr>
          <w:cantSplit/>
        </w:trPr>
        <w:tc>
          <w:tcPr>
            <w:tcW w:type="dxa" w:w="8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АР-13</w:t>
            </w:r>
          </w:p>
        </w:tc>
        <w:tc>
          <w:tcPr>
            <w:tcW w:type="dxa" w:w="25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Технологии и пилоты</w:t>
            </w:r>
          </w:p>
        </w:tc>
        <w:tc>
          <w:tcPr>
            <w:tcW w:type="dxa" w:w="601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Научная основа, разработчик, готовность, испытания, безопасность и масштабирование.</w:t>
            </w:r>
          </w:p>
        </w:tc>
      </w:tr>
      <w:tr>
        <w:trPr>
          <w:cantSplit/>
        </w:trPr>
        <w:tc>
          <w:tcPr>
            <w:tcW w:type="dxa" w:w="8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АР-14</w:t>
            </w:r>
          </w:p>
        </w:tc>
        <w:tc>
          <w:tcPr>
            <w:tcW w:type="dxa" w:w="25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Права, лицензии и доступ</w:t>
            </w:r>
          </w:p>
        </w:tc>
        <w:tc>
          <w:tcPr>
            <w:tcW w:type="dxa" w:w="601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Патенты, программы, базы, ноу-хау, правообладатели и режим использования.</w:t>
            </w:r>
          </w:p>
        </w:tc>
      </w:tr>
      <w:tr>
        <w:trPr>
          <w:cantSplit/>
        </w:trPr>
        <w:tc>
          <w:tcPr>
            <w:tcW w:type="dxa" w:w="8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АР-15</w:t>
            </w:r>
          </w:p>
        </w:tc>
        <w:tc>
          <w:tcPr>
            <w:tcW w:type="dxa" w:w="25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Риски, сценарии и рекомендации</w:t>
            </w:r>
          </w:p>
        </w:tc>
        <w:tc>
          <w:tcPr>
            <w:tcW w:type="dxa" w:w="601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Источники риска, горизонт, вероятность, неопределённость, сценарии и статус рекомендации.</w:t>
            </w:r>
          </w:p>
        </w:tc>
      </w:tr>
      <w:tr>
        <w:trPr>
          <w:cantSplit/>
        </w:trPr>
        <w:tc>
          <w:tcPr>
            <w:tcW w:type="dxa" w:w="8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АР-16</w:t>
            </w:r>
          </w:p>
        </w:tc>
        <w:tc>
          <w:tcPr>
            <w:tcW w:type="dxa" w:w="25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Мероприятия и подтверждённые эффекты</w:t>
            </w:r>
          </w:p>
        </w:tc>
        <w:tc>
          <w:tcPr>
            <w:tcW w:type="dxa" w:w="601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Исходная линия, цель, территория, ресурсы, мероприятие, индикаторы, результат и независимая проверка.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7" w:space="0" w:color="B7791F"/>
          <w:left w:val="single" w:sz="7" w:space="0" w:color="B7791F"/>
          <w:bottom w:val="single" w:sz="7" w:space="0" w:color="B7791F"/>
          <w:right w:val="single" w:sz="7" w:space="0" w:color="B7791F"/>
          <w:insideH w:val="single" w:sz="7" w:space="0" w:color="B7791F"/>
          <w:insideV w:val="single" w:sz="7" w:space="0" w:color="B7791F"/>
        </w:tblBorders>
      </w:tblPr>
      <w:tblGrid>
        <w:gridCol w:w="9360"/>
      </w:tblGrid>
      <w:tr>
        <w:trPr>
          <w:tblHeader w:val="true"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1CC"/>
          </w:tcPr>
          <w:p>
            <w:pPr>
              <w:spacing w:after="80"/>
            </w:pPr>
            <w:r>
              <w:rPr>
                <w:rFonts w:ascii="Calibri" w:hAnsi="Calibri" w:eastAsia="Calibri" w:cs="Calibri"/>
                <w:b/>
                <w:i w:val="0"/>
                <w:color w:val="B7791F"/>
                <w:sz w:val="22"/>
              </w:rPr>
              <w:t>Критическое разграничение</w:t>
            </w:r>
          </w:p>
          <w:p>
            <w:pPr>
              <w:spacing w:after="0" w:line="283" w:lineRule="auto"/>
            </w:pPr>
            <w:r>
              <w:rPr>
                <w:rFonts w:ascii="Calibri" w:hAnsi="Calibri" w:eastAsia="Calibri" w:cs="Calibri"/>
                <w:b w:val="0"/>
                <w:i w:val="0"/>
                <w:color w:val="1F2937"/>
                <w:sz w:val="20"/>
              </w:rPr>
              <w:t>Публикация, набор данных, технология, пилот и подтверждённый эффект — разные объекты. Наличие публикации не означает готовности технологии; проведение пилота не доказывает масштабируемый эффект; прогноз не регистрируется как наблюдаемый факт.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12</w:t>
      </w:r>
    </w:p>
    <w:p>
      <w:pPr>
        <w:pStyle w:val="Heading1"/>
      </w:pPr>
      <w:r>
        <w:t>Единый паспорт объекта и граф связей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Каждая запись получает постоянный идентификатор, происхождение, версию и проверяемые отношения с другими объектами.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2600"/>
        <w:gridCol w:w="6760"/>
      </w:tblGrid>
      <w:tr>
        <w:trPr>
          <w:tblHeader w:val="true"/>
          <w:cantSplit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Блок</w:t>
            </w:r>
          </w:p>
        </w:tc>
        <w:tc>
          <w:tcPr>
            <w:tcW w:type="dxa" w:w="6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Обязательное содержание</w:t>
            </w:r>
          </w:p>
        </w:tc>
      </w:tr>
      <w:tr>
        <w:trPr>
          <w:cantSplit/>
        </w:trPr>
        <w:tc>
          <w:tcPr>
            <w:tcW w:type="dxa" w:w="26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1. Идентификация</w:t>
            </w:r>
          </w:p>
        </w:tc>
        <w:tc>
          <w:tcPr>
            <w:tcW w:type="dxa" w:w="67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Код, тип, официальное и краткое название, синонимы, классификаторы.</w:t>
            </w:r>
          </w:p>
        </w:tc>
      </w:tr>
      <w:tr>
        <w:trPr>
          <w:cantSplit/>
        </w:trPr>
        <w:tc>
          <w:tcPr>
            <w:tcW w:type="dxa" w:w="26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2. Ответственность</w:t>
            </w:r>
          </w:p>
        </w:tc>
        <w:tc>
          <w:tcPr>
            <w:tcW w:type="dxa" w:w="67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Владелец записи, хранитель первичных данных, научный руководитель, оператор актуализации, эксперт и проверяющий.</w:t>
            </w:r>
          </w:p>
        </w:tc>
      </w:tr>
      <w:tr>
        <w:trPr>
          <w:cantSplit/>
        </w:trPr>
        <w:tc>
          <w:tcPr>
            <w:tcW w:type="dxa" w:w="26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3. Научное содержание</w:t>
            </w:r>
          </w:p>
        </w:tc>
        <w:tc>
          <w:tcPr>
            <w:tcW w:type="dxa" w:w="67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Проблема, предмет, цель, гипотеза, дисциплина, применимость и ограничения.</w:t>
            </w:r>
          </w:p>
        </w:tc>
      </w:tr>
      <w:tr>
        <w:trPr>
          <w:cantSplit/>
        </w:trPr>
        <w:tc>
          <w:tcPr>
            <w:tcW w:type="dxa" w:w="26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4. Пространство и время</w:t>
            </w:r>
          </w:p>
        </w:tc>
        <w:tc>
          <w:tcPr>
            <w:tcW w:type="dxa" w:w="67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Территория, координаты, масштаб, период, даты создания и повторной проверки.</w:t>
            </w:r>
          </w:p>
        </w:tc>
      </w:tr>
      <w:tr>
        <w:trPr>
          <w:cantSplit/>
        </w:trPr>
        <w:tc>
          <w:tcPr>
            <w:tcW w:type="dxa" w:w="26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5. Методология</w:t>
            </w:r>
          </w:p>
        </w:tc>
        <w:tc>
          <w:tcPr>
            <w:tcW w:type="dxa" w:w="67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Методика и версия, оборудование, условия, единицы, калибровка и контроль качества.</w:t>
            </w:r>
          </w:p>
        </w:tc>
      </w:tr>
      <w:tr>
        <w:trPr>
          <w:cantSplit/>
        </w:trPr>
        <w:tc>
          <w:tcPr>
            <w:tcW w:type="dxa" w:w="26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6. Происхождение</w:t>
            </w:r>
          </w:p>
        </w:tc>
        <w:tc>
          <w:tcPr>
            <w:tcW w:type="dxa" w:w="67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Первичный источник, авторство, данные, контрольные суммы, преобразования, рецензирование и воспроизводимость.</w:t>
            </w:r>
          </w:p>
        </w:tc>
      </w:tr>
      <w:tr>
        <w:trPr>
          <w:cantSplit/>
        </w:trPr>
        <w:tc>
          <w:tcPr>
            <w:tcW w:type="dxa" w:w="26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7. Качество</w:t>
            </w:r>
          </w:p>
        </w:tc>
        <w:tc>
          <w:tcPr>
            <w:tcW w:type="dxa" w:w="67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Полнота, точность, погрешность, пропуски, допущения и неопределённость.</w:t>
            </w:r>
          </w:p>
        </w:tc>
      </w:tr>
      <w:tr>
        <w:trPr>
          <w:cantSplit/>
        </w:trPr>
        <w:tc>
          <w:tcPr>
            <w:tcW w:type="dxa" w:w="26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8. Связи</w:t>
            </w:r>
          </w:p>
        </w:tc>
        <w:tc>
          <w:tcPr>
            <w:tcW w:type="dxa" w:w="67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Организации, люди, проекты, территории, наблюдения, данные, публикации, технологии, риски и показатели.</w:t>
            </w:r>
          </w:p>
        </w:tc>
      </w:tr>
      <w:tr>
        <w:trPr>
          <w:cantSplit/>
        </w:trPr>
        <w:tc>
          <w:tcPr>
            <w:tcW w:type="dxa" w:w="26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9. Право и этика</w:t>
            </w:r>
          </w:p>
        </w:tc>
        <w:tc>
          <w:tcPr>
            <w:tcW w:type="dxa" w:w="67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Правообладатель, лицензия, доступ, персональные и чувствительные данные, безопасность.</w:t>
            </w:r>
          </w:p>
        </w:tc>
      </w:tr>
      <w:tr>
        <w:trPr>
          <w:cantSplit/>
        </w:trPr>
        <w:tc>
          <w:tcPr>
            <w:tcW w:type="dxa" w:w="26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10. Статус и версия</w:t>
            </w:r>
          </w:p>
        </w:tc>
        <w:tc>
          <w:tcPr>
            <w:tcW w:type="dxa" w:w="67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Состояние записи, основания изменения, предыдущая версия, замещение, подпись и дата.</w:t>
            </w:r>
          </w:p>
        </w:tc>
      </w:tr>
    </w:tbl>
    <w:p>
      <w:pPr>
        <w:pStyle w:val="Heading2"/>
      </w:pPr>
      <w:r>
        <w:rPr>
          <w:rFonts w:ascii="Calibri" w:hAnsi="Calibri" w:eastAsia="Calibri" w:cs="Calibri"/>
          <w:b w:val="0"/>
          <w:i w:val="0"/>
          <w:color w:val="1F2937"/>
          <w:sz w:val="22"/>
        </w:rPr>
        <w:t>Совместимость идентификаторов</w:t>
      </w:r>
    </w:p>
    <w:p>
      <w:pPr>
        <w:pStyle w:val="ListBullet"/>
        <w:keepLines/>
        <w:spacing w:after="60" w:line="288" w:lineRule="auto"/>
      </w:pPr>
      <w:r>
        <w:rPr>
          <w:rFonts w:ascii="Calibri" w:hAnsi="Calibri" w:eastAsia="Calibri" w:cs="Calibri"/>
          <w:b w:val="0"/>
          <w:i w:val="0"/>
          <w:color w:val="1F2937"/>
          <w:sz w:val="21"/>
        </w:rPr>
        <w:t>ORCID — для устойчивой идентификации исследователей и связи с их вкладом. [D2]</w:t>
      </w:r>
    </w:p>
    <w:p>
      <w:pPr>
        <w:pStyle w:val="ListBullet"/>
        <w:keepLines/>
        <w:spacing w:after="60" w:line="288" w:lineRule="auto"/>
      </w:pPr>
      <w:r>
        <w:rPr>
          <w:rFonts w:ascii="Calibri" w:hAnsi="Calibri" w:eastAsia="Calibri" w:cs="Calibri"/>
          <w:b w:val="0"/>
          <w:i w:val="0"/>
          <w:color w:val="1F2937"/>
          <w:sz w:val="21"/>
        </w:rPr>
        <w:t>ROR — для открытой идентификации исследовательских организаций. [D3]</w:t>
      </w:r>
    </w:p>
    <w:p>
      <w:pPr>
        <w:pStyle w:val="ListBullet"/>
        <w:keepLines/>
        <w:spacing w:after="60" w:line="288" w:lineRule="auto"/>
      </w:pPr>
      <w:r>
        <w:rPr>
          <w:rFonts w:ascii="Calibri" w:hAnsi="Calibri" w:eastAsia="Calibri" w:cs="Calibri"/>
          <w:b w:val="0"/>
          <w:i w:val="0"/>
          <w:color w:val="1F2937"/>
          <w:sz w:val="21"/>
        </w:rPr>
        <w:t>DOI/DataCite — для публикаций, наборов данных, моделей и других исследовательских результатов. [D4]</w:t>
      </w:r>
    </w:p>
    <w:p>
      <w:pPr>
        <w:pStyle w:val="ListBullet"/>
        <w:keepLines/>
        <w:spacing w:after="60" w:line="288" w:lineRule="auto"/>
      </w:pPr>
      <w:r>
        <w:rPr>
          <w:rFonts w:ascii="Calibri" w:hAnsi="Calibri" w:eastAsia="Calibri" w:cs="Calibri"/>
          <w:b w:val="0"/>
          <w:i w:val="0"/>
          <w:color w:val="1F2937"/>
          <w:sz w:val="21"/>
        </w:rPr>
        <w:t>Внутренний академический идентификатор не заменяет внешние идентификаторы, а связывает их в едином графе.</w:t>
      </w:r>
    </w:p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13</w:t>
      </w:r>
    </w:p>
    <w:p>
      <w:pPr>
        <w:pStyle w:val="Heading1"/>
      </w:pPr>
      <w:r>
        <w:t>Доказательность, статусы и жизненный цикл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Реестр фиксирует качество процедуры и происхождение сведений, но не объявляет научную истину административным решением.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2300"/>
        <w:gridCol w:w="7060"/>
      </w:tblGrid>
      <w:tr>
        <w:trPr>
          <w:tblHeader w:val="true"/>
          <w:cantSplit/>
        </w:trP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Параметр</w:t>
            </w:r>
          </w:p>
        </w:tc>
        <w:tc>
          <w:tcPr>
            <w:tcW w:type="dxa" w:w="7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Проверяемый вопрос</w:t>
            </w:r>
          </w:p>
        </w:tc>
      </w:tr>
      <w:tr>
        <w:trPr>
          <w:cantSplit/>
        </w:trPr>
        <w:tc>
          <w:tcPr>
            <w:tcW w:type="dxa" w:w="23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Происхождение</w:t>
            </w:r>
          </w:p>
        </w:tc>
        <w:tc>
          <w:tcPr>
            <w:tcW w:type="dxa" w:w="70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Известны ли автор, источник и хранитель первичных материалов?</w:t>
            </w:r>
          </w:p>
        </w:tc>
      </w:tr>
      <w:tr>
        <w:trPr>
          <w:cantSplit/>
        </w:trPr>
        <w:tc>
          <w:tcPr>
            <w:tcW w:type="dxa" w:w="23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Метод</w:t>
            </w:r>
          </w:p>
        </w:tc>
        <w:tc>
          <w:tcPr>
            <w:tcW w:type="dxa" w:w="70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Определены ли методика, версия, оборудование и условия получения результата?</w:t>
            </w:r>
          </w:p>
        </w:tc>
      </w:tr>
      <w:tr>
        <w:trPr>
          <w:cantSplit/>
        </w:trPr>
        <w:tc>
          <w:tcPr>
            <w:tcW w:type="dxa" w:w="23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Качество</w:t>
            </w:r>
          </w:p>
        </w:tc>
        <w:tc>
          <w:tcPr>
            <w:tcW w:type="dxa" w:w="70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Указаны ли полнота, погрешность, неопределённость и контроль?</w:t>
            </w:r>
          </w:p>
        </w:tc>
      </w:tr>
      <w:tr>
        <w:trPr>
          <w:cantSplit/>
        </w:trPr>
        <w:tc>
          <w:tcPr>
            <w:tcW w:type="dxa" w:w="23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Проверка</w:t>
            </w:r>
          </w:p>
        </w:tc>
        <w:tc>
          <w:tcPr>
            <w:tcW w:type="dxa" w:w="70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Была ли внутренняя, внешняя или воспроизводящая проверка?</w:t>
            </w:r>
          </w:p>
        </w:tc>
      </w:tr>
      <w:tr>
        <w:trPr>
          <w:cantSplit/>
        </w:trPr>
        <w:tc>
          <w:tcPr>
            <w:tcW w:type="dxa" w:w="23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Актуальность</w:t>
            </w:r>
          </w:p>
        </w:tc>
        <w:tc>
          <w:tcPr>
            <w:tcW w:type="dxa" w:w="70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Соответствуют ли дата, территория и масштаб заявленной области применения?</w:t>
            </w:r>
          </w:p>
        </w:tc>
      </w:tr>
    </w:tbl>
    <w:p>
      <w:pPr>
        <w:pStyle w:val="Heading2"/>
      </w:pPr>
      <w:r>
        <w:rPr>
          <w:rFonts w:ascii="Calibri" w:hAnsi="Calibri" w:eastAsia="Calibri" w:cs="Calibri"/>
          <w:b w:val="0"/>
          <w:i w:val="0"/>
          <w:color w:val="1F2937"/>
          <w:sz w:val="22"/>
        </w:rPr>
        <w:t>Жизненный цикл записи</w:t>
      </w:r>
    </w:p>
    <w:p>
      <w:pPr>
        <w:pStyle w:val="QuoteBox"/>
      </w:pPr>
      <w:r>
        <w:rPr>
          <w:rFonts w:ascii="Calibri" w:hAnsi="Calibri" w:eastAsia="Calibri" w:cs="Calibri"/>
          <w:b/>
          <w:i w:val="0"/>
          <w:color w:val="17365D"/>
          <w:sz w:val="24"/>
        </w:rPr>
        <w:t>проект → представлен → технически проверен → экспертно рассмотрен → действующий → требует актуализации → заменён → архивный</w:t>
      </w:r>
    </w:p>
    <w:p>
      <w:pPr>
        <w:pStyle w:val="ListBullet"/>
        <w:keepLines/>
        <w:spacing w:after="60" w:line="288" w:lineRule="auto"/>
      </w:pPr>
      <w:r>
        <w:rPr>
          <w:rFonts w:ascii="Calibri" w:hAnsi="Calibri" w:eastAsia="Calibri" w:cs="Calibri"/>
          <w:b w:val="0"/>
          <w:i w:val="0"/>
          <w:color w:val="1F2937"/>
          <w:sz w:val="21"/>
        </w:rPr>
        <w:t>Дополнительные статусы: оспорен, ограничен в применении, отозван.</w:t>
      </w:r>
    </w:p>
    <w:p>
      <w:pPr>
        <w:pStyle w:val="ListBullet"/>
        <w:keepLines/>
        <w:spacing w:after="60" w:line="288" w:lineRule="auto"/>
      </w:pPr>
      <w:r>
        <w:rPr>
          <w:rFonts w:ascii="Calibri" w:hAnsi="Calibri" w:eastAsia="Calibri" w:cs="Calibri"/>
          <w:b w:val="0"/>
          <w:i w:val="0"/>
          <w:color w:val="1F2937"/>
          <w:sz w:val="21"/>
        </w:rPr>
        <w:t>Исправление создаёт новую версию; история и основания изменения сохраняются.</w:t>
      </w:r>
    </w:p>
    <w:p>
      <w:pPr>
        <w:pStyle w:val="ListBullet"/>
        <w:keepLines/>
        <w:spacing w:after="60" w:line="288" w:lineRule="auto"/>
      </w:pPr>
      <w:r>
        <w:rPr>
          <w:rFonts w:ascii="Calibri" w:hAnsi="Calibri" w:eastAsia="Calibri" w:cs="Calibri"/>
          <w:b w:val="0"/>
          <w:i w:val="0"/>
          <w:color w:val="1F2937"/>
          <w:sz w:val="21"/>
        </w:rPr>
        <w:t>Автор результата не может быть его единственным проверяющим.</w:t>
      </w:r>
    </w:p>
    <w:p>
      <w:pPr>
        <w:pStyle w:val="ListBullet"/>
        <w:keepLines/>
        <w:spacing w:after="60" w:line="288" w:lineRule="auto"/>
      </w:pPr>
      <w:r>
        <w:rPr>
          <w:rFonts w:ascii="Calibri" w:hAnsi="Calibri" w:eastAsia="Calibri" w:cs="Calibri"/>
          <w:b w:val="0"/>
          <w:i w:val="0"/>
          <w:color w:val="1F2937"/>
          <w:sz w:val="21"/>
        </w:rPr>
        <w:t>Получатель финансирования не подтверждает конечный общественный или экологический эффект единолично.</w:t>
      </w:r>
    </w:p>
    <w:p>
      <w:pPr>
        <w:pStyle w:val="ListBullet"/>
        <w:keepLines/>
        <w:spacing w:after="60" w:line="288" w:lineRule="auto"/>
      </w:pPr>
      <w:r>
        <w:rPr>
          <w:rFonts w:ascii="Calibri" w:hAnsi="Calibri" w:eastAsia="Calibri" w:cs="Calibri"/>
          <w:b w:val="0"/>
          <w:i w:val="0"/>
          <w:color w:val="1F2937"/>
          <w:sz w:val="21"/>
        </w:rPr>
        <w:t>Принципы FAIR применяются к метаданным и данным: находимость, доступность, совместимость и повторное использование. [D1]</w:t>
      </w:r>
    </w:p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14</w:t>
      </w:r>
    </w:p>
    <w:p>
      <w:pPr>
        <w:pStyle w:val="Heading1"/>
      </w:pPr>
      <w:r>
        <w:t>Управление системой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Разделение научной, нормативной, технической, операционной и проверяющей ответственности.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3000"/>
        <w:gridCol w:w="6360"/>
      </w:tblGrid>
      <w:tr>
        <w:trPr>
          <w:tblHeader w:val="true"/>
          <w:cantSplit/>
        </w:trP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Участник</w:t>
            </w:r>
          </w:p>
        </w:tc>
        <w:tc>
          <w:tcPr>
            <w:tcW w:type="dxa" w:w="6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Полномочия</w:t>
            </w:r>
          </w:p>
        </w:tc>
      </w:tr>
      <w:tr>
        <w:trPr>
          <w:cantSplit/>
        </w:trPr>
        <w:tc>
          <w:tcPr>
            <w:tcW w:type="dxa" w:w="30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Высший академический совет</w:t>
            </w:r>
          </w:p>
        </w:tc>
        <w:tc>
          <w:tcPr>
            <w:tcW w:type="dxa" w:w="63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Определяет миссии и научные приоритеты; утверждает междисциплинарные программы.</w:t>
            </w:r>
          </w:p>
        </w:tc>
      </w:tr>
      <w:tr>
        <w:trPr>
          <w:cantSplit/>
        </w:trPr>
        <w:tc>
          <w:tcPr>
            <w:tcW w:type="dxa" w:w="30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Научно-методический совет</w:t>
            </w:r>
          </w:p>
        </w:tc>
        <w:tc>
          <w:tcPr>
            <w:tcW w:type="dxa" w:w="63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Утверждает стандарты доказательности, классификаторы, методики и правила экспертизы.</w:t>
            </w:r>
          </w:p>
        </w:tc>
      </w:tr>
      <w:tr>
        <w:trPr>
          <w:cantSplit/>
        </w:trPr>
        <w:tc>
          <w:tcPr>
            <w:tcW w:type="dxa" w:w="30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Коллегии владельцев реестров</w:t>
            </w:r>
          </w:p>
        </w:tc>
        <w:tc>
          <w:tcPr>
            <w:tcW w:type="dxa" w:w="63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Управляют доменами, требованиями к данным и процедурами актуализации.</w:t>
            </w:r>
          </w:p>
        </w:tc>
      </w:tr>
      <w:tr>
        <w:trPr>
          <w:cantSplit/>
        </w:trPr>
        <w:tc>
          <w:tcPr>
            <w:tcW w:type="dxa" w:w="30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Оператор платформы</w:t>
            </w:r>
          </w:p>
        </w:tc>
        <w:tc>
          <w:tcPr>
            <w:tcW w:type="dxa" w:w="63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Обеспечивает эксплуатацию, интеграцию, доступность, защиту, журналирование и резервирование.</w:t>
            </w:r>
          </w:p>
        </w:tc>
      </w:tr>
      <w:tr>
        <w:trPr>
          <w:cantSplit/>
        </w:trPr>
        <w:tc>
          <w:tcPr>
            <w:tcW w:type="dxa" w:w="30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Институты и региональные узлы</w:t>
            </w:r>
          </w:p>
        </w:tc>
        <w:tc>
          <w:tcPr>
            <w:tcW w:type="dxa" w:w="63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Создают, хранят и актуализируют первичные сведения; несут научную ответственность.</w:t>
            </w:r>
          </w:p>
        </w:tc>
      </w:tr>
      <w:tr>
        <w:trPr>
          <w:cantSplit/>
        </w:trPr>
        <w:tc>
          <w:tcPr>
            <w:tcW w:type="dxa" w:w="30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Кураторы данных</w:t>
            </w:r>
          </w:p>
        </w:tc>
        <w:tc>
          <w:tcPr>
            <w:tcW w:type="dxa" w:w="63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Контролируют полноту, качество метаданных и сроки актуализации.</w:t>
            </w:r>
          </w:p>
        </w:tc>
      </w:tr>
      <w:tr>
        <w:trPr>
          <w:cantSplit/>
        </w:trPr>
        <w:tc>
          <w:tcPr>
            <w:tcW w:type="dxa" w:w="30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Независимые эксперты</w:t>
            </w:r>
          </w:p>
        </w:tc>
        <w:tc>
          <w:tcPr>
            <w:tcW w:type="dxa" w:w="63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Проверяют методы, результаты и заявленные эффекты; не зависят от исполнителя проекта.</w:t>
            </w:r>
          </w:p>
        </w:tc>
      </w:tr>
      <w:tr>
        <w:trPr>
          <w:cantSplit/>
        </w:trPr>
        <w:tc>
          <w:tcPr>
            <w:tcW w:type="dxa" w:w="30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Комитет по этике и безопасности</w:t>
            </w:r>
          </w:p>
        </w:tc>
        <w:tc>
          <w:tcPr>
            <w:tcW w:type="dxa" w:w="63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Определяет режим чувствительных, персональных, генетических и двойного назначения данных.</w:t>
            </w:r>
          </w:p>
        </w:tc>
      </w:tr>
      <w:tr>
        <w:trPr>
          <w:cantSplit/>
        </w:trPr>
        <w:tc>
          <w:tcPr>
            <w:tcW w:type="dxa" w:w="30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Аудит реестров</w:t>
            </w:r>
          </w:p>
        </w:tc>
        <w:tc>
          <w:tcPr>
            <w:tcW w:type="dxa" w:w="63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Проверяет полномочия, соблюдение процедур и неизменность истории записей.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7" w:space="0" w:color="2E74B5"/>
          <w:left w:val="single" w:sz="7" w:space="0" w:color="2E74B5"/>
          <w:bottom w:val="single" w:sz="7" w:space="0" w:color="2E74B5"/>
          <w:right w:val="single" w:sz="7" w:space="0" w:color="2E74B5"/>
          <w:insideH w:val="single" w:sz="7" w:space="0" w:color="2E74B5"/>
          <w:insideV w:val="single" w:sz="7" w:space="0" w:color="2E74B5"/>
        </w:tblBorders>
      </w:tblPr>
      <w:tblGrid>
        <w:gridCol w:w="9360"/>
      </w:tblGrid>
      <w:tr>
        <w:trPr>
          <w:tblHeader w:val="true"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3F8"/>
          </w:tcPr>
          <w:p>
            <w:pPr>
              <w:spacing w:after="80"/>
            </w:pPr>
            <w:r>
              <w:rPr>
                <w:rFonts w:ascii="Calibri" w:hAnsi="Calibri" w:eastAsia="Calibri" w:cs="Calibri"/>
                <w:b/>
                <w:i w:val="0"/>
                <w:color w:val="2E74B5"/>
                <w:sz w:val="22"/>
              </w:rPr>
              <w:t>Принцип невмешательства оператора</w:t>
            </w:r>
          </w:p>
          <w:p>
            <w:pPr>
              <w:spacing w:after="0" w:line="283" w:lineRule="auto"/>
            </w:pPr>
            <w:r>
              <w:rPr>
                <w:rFonts w:ascii="Calibri" w:hAnsi="Calibri" w:eastAsia="Calibri" w:cs="Calibri"/>
                <w:b w:val="0"/>
                <w:i w:val="0"/>
                <w:color w:val="1F2937"/>
                <w:sz w:val="20"/>
              </w:rPr>
              <w:t>Оператор цифровой платформы не вправе изменять научное заключение, подменять владельца данных или скрывать историю исправлений. Изменение классификаторов и регламентов проводится по формальной процедуре и с версиями.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15</w:t>
      </w:r>
    </w:p>
    <w:p>
      <w:pPr>
        <w:pStyle w:val="Heading1"/>
      </w:pPr>
      <w:r>
        <w:t>Роли в экосистеме проекта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Интеграции описаны как предлагаемое распределение функций; юридические полномочия закрепляются отдельными документами.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2500"/>
        <w:gridCol w:w="6860"/>
      </w:tblGrid>
      <w:tr>
        <w:trPr>
          <w:tblHeader w:val="true"/>
          <w:cantSplit/>
        </w:trP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Контур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Предлагаемая функция</w:t>
            </w:r>
          </w:p>
        </w:tc>
      </w:tr>
      <w:tr>
        <w:trPr>
          <w:cantSplit/>
        </w:trPr>
        <w:tc>
          <w:tcPr>
            <w:tcW w:type="dxa" w:w="25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Академические реестры</w:t>
            </w:r>
          </w:p>
        </w:tc>
        <w:tc>
          <w:tcPr>
            <w:tcW w:type="dxa" w:w="68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Каноническая идентификация, происхождение, методики, экспертные статусы и доказательства.</w:t>
            </w:r>
          </w:p>
        </w:tc>
      </w:tr>
      <w:tr>
        <w:trPr>
          <w:cantSplit/>
        </w:trPr>
        <w:tc>
          <w:tcPr>
            <w:tcW w:type="dxa" w:w="25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ЭКВИЛИБРИУМ</w:t>
            </w:r>
          </w:p>
        </w:tc>
        <w:tc>
          <w:tcPr>
            <w:tcW w:type="dxa" w:w="68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Семантическая интеграция, граф связей, мониторинг, аналитика, прогнозы и цифровые двойники; модель отделена от факта.</w:t>
            </w:r>
          </w:p>
        </w:tc>
      </w:tr>
      <w:tr>
        <w:trPr>
          <w:cantSplit/>
        </w:trPr>
        <w:tc>
          <w:tcPr>
            <w:tcW w:type="dxa" w:w="25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СФЕРА</w:t>
            </w:r>
          </w:p>
        </w:tc>
        <w:tc>
          <w:tcPr>
            <w:tcW w:type="dxa" w:w="68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Открытый и партнёрский портал, инициативы, конкурсы, коммуникация и распространение знаний.</w:t>
            </w:r>
          </w:p>
        </w:tc>
      </w:tr>
      <w:tr>
        <w:trPr>
          <w:cantSplit/>
        </w:trPr>
        <w:tc>
          <w:tcPr>
            <w:tcW w:type="dxa" w:w="25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ECO-PPA</w:t>
            </w:r>
          </w:p>
        </w:tc>
        <w:tc>
          <w:tcPr>
            <w:tcW w:type="dxa" w:w="68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Контур программных соглашений: исходная линия, цель, обязательства, ресурсы, индикаторы, отчёт и верификация.</w:t>
            </w:r>
          </w:p>
        </w:tc>
      </w:tr>
      <w:tr>
        <w:trPr>
          <w:cantSplit/>
        </w:trPr>
        <w:tc>
          <w:tcPr>
            <w:tcW w:type="dxa" w:w="25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СПЕЦЗАЩИТА</w:t>
            </w:r>
          </w:p>
        </w:tc>
        <w:tc>
          <w:tcPr>
            <w:tcW w:type="dxa" w:w="68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Исполнение пилотов, производственная кооперация, организация испытаний и передача фактических данных.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7" w:space="0" w:color="2E74B5"/>
          <w:left w:val="single" w:sz="7" w:space="0" w:color="2E74B5"/>
          <w:bottom w:val="single" w:sz="7" w:space="0" w:color="2E74B5"/>
          <w:right w:val="single" w:sz="7" w:space="0" w:color="2E74B5"/>
          <w:insideH w:val="single" w:sz="7" w:space="0" w:color="2E74B5"/>
          <w:insideV w:val="single" w:sz="7" w:space="0" w:color="2E74B5"/>
        </w:tblBorders>
      </w:tblPr>
      <w:tblGrid>
        <w:gridCol w:w="9360"/>
      </w:tblGrid>
      <w:tr>
        <w:trPr>
          <w:tblHeader w:val="true"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3F8"/>
          </w:tcPr>
          <w:p>
            <w:pPr>
              <w:spacing w:after="80"/>
            </w:pPr>
            <w:r>
              <w:rPr>
                <w:rFonts w:ascii="Calibri" w:hAnsi="Calibri" w:eastAsia="Calibri" w:cs="Calibri"/>
                <w:b/>
                <w:i w:val="0"/>
                <w:color w:val="2E74B5"/>
                <w:sz w:val="22"/>
              </w:rPr>
              <w:t>Разделение ролей</w:t>
            </w:r>
          </w:p>
          <w:p>
            <w:pPr>
              <w:spacing w:after="0" w:line="283" w:lineRule="auto"/>
            </w:pPr>
            <w:r>
              <w:rPr>
                <w:rFonts w:ascii="Calibri" w:hAnsi="Calibri" w:eastAsia="Calibri" w:cs="Calibri"/>
                <w:b w:val="0"/>
                <w:i w:val="0"/>
                <w:color w:val="1F2937"/>
                <w:sz w:val="20"/>
              </w:rPr>
              <w:t>Наука формирует доказательства; система управления принимает решения; исполнитель реализует мероприятия; независимая сторона подтверждает эффект. Исполнитель может передать протокол и данные, но не должен единолично присваивать результату статус подтверждённого эффекта.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16</w:t>
      </w:r>
    </w:p>
    <w:p>
      <w:pPr>
        <w:pStyle w:val="Heading1"/>
      </w:pPr>
      <w:r>
        <w:t>Данные, права, этика и безопасность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Открытость должна сочетаться с защищёнными режимами доступа и ответственностью за первичные сведения.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2300"/>
        <w:gridCol w:w="7060"/>
      </w:tblGrid>
      <w:tr>
        <w:trPr>
          <w:tblHeader w:val="true"/>
          <w:cantSplit/>
        </w:trP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Режим</w:t>
            </w:r>
          </w:p>
        </w:tc>
        <w:tc>
          <w:tcPr>
            <w:tcW w:type="dxa" w:w="7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Применение</w:t>
            </w:r>
          </w:p>
        </w:tc>
      </w:tr>
      <w:tr>
        <w:trPr>
          <w:cantSplit/>
        </w:trPr>
        <w:tc>
          <w:tcPr>
            <w:tcW w:type="dxa" w:w="23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Открытый</w:t>
            </w:r>
          </w:p>
        </w:tc>
        <w:tc>
          <w:tcPr>
            <w:tcW w:type="dxa" w:w="70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Публичные метаданные, публикации, общие показатели, открытые наборы данных и методики.</w:t>
            </w:r>
          </w:p>
        </w:tc>
      </w:tr>
      <w:tr>
        <w:trPr>
          <w:cantSplit/>
        </w:trPr>
        <w:tc>
          <w:tcPr>
            <w:tcW w:type="dxa" w:w="23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Академический ограниченный</w:t>
            </w:r>
          </w:p>
        </w:tc>
        <w:tc>
          <w:tcPr>
            <w:tcW w:type="dxa" w:w="70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Данные доступны проверенным исследователям по условиям использования и цитирования.</w:t>
            </w:r>
          </w:p>
        </w:tc>
      </w:tr>
      <w:tr>
        <w:trPr>
          <w:cantSplit/>
        </w:trPr>
        <w:tc>
          <w:tcPr>
            <w:tcW w:type="dxa" w:w="23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Служебный</w:t>
            </w:r>
          </w:p>
        </w:tc>
        <w:tc>
          <w:tcPr>
            <w:tcW w:type="dxa" w:w="70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Материалы текущей экспертизы, проектирования и внутреннего управления.</w:t>
            </w:r>
          </w:p>
        </w:tc>
      </w:tr>
      <w:tr>
        <w:trPr>
          <w:cantSplit/>
        </w:trPr>
        <w:tc>
          <w:tcPr>
            <w:tcW w:type="dxa" w:w="23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Конфиденциальный</w:t>
            </w:r>
          </w:p>
        </w:tc>
        <w:tc>
          <w:tcPr>
            <w:tcW w:type="dxa" w:w="70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Коммерческая тайна, персональные данные, договорные ограничения и чувствительные технологии.</w:t>
            </w:r>
          </w:p>
        </w:tc>
      </w:tr>
      <w:tr>
        <w:trPr>
          <w:cantSplit/>
        </w:trPr>
        <w:tc>
          <w:tcPr>
            <w:tcW w:type="dxa" w:w="23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Специальный</w:t>
            </w:r>
          </w:p>
        </w:tc>
        <w:tc>
          <w:tcPr>
            <w:tcW w:type="dxa" w:w="70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Генетические данные, сведения двойного назначения, биобезопасность и иные режимы по закону.</w:t>
            </w:r>
          </w:p>
        </w:tc>
      </w:tr>
    </w:tbl>
    <w:p>
      <w:pPr>
        <w:pStyle w:val="ListBullet"/>
        <w:keepLines/>
        <w:spacing w:after="60" w:line="288" w:lineRule="auto"/>
      </w:pPr>
      <w:r>
        <w:rPr>
          <w:rFonts w:ascii="Calibri" w:hAnsi="Calibri" w:eastAsia="Calibri" w:cs="Calibri"/>
          <w:b/>
          <w:i w:val="0"/>
          <w:color w:val="1F2937"/>
          <w:sz w:val="21"/>
        </w:rPr>
        <w:t xml:space="preserve">Права. </w:t>
      </w:r>
      <w:r>
        <w:rPr>
          <w:rFonts w:ascii="Calibri" w:hAnsi="Calibri" w:eastAsia="Calibri" w:cs="Calibri"/>
          <w:b w:val="0"/>
          <w:i w:val="0"/>
          <w:color w:val="1F2937"/>
          <w:sz w:val="21"/>
        </w:rPr>
        <w:t>Для данных, методов, ПО и технологий фиксируются автор, правообладатель, лицензия и допустимое использование.</w:t>
      </w:r>
    </w:p>
    <w:p>
      <w:pPr>
        <w:pStyle w:val="ListBullet"/>
        <w:keepLines/>
        <w:spacing w:after="60" w:line="288" w:lineRule="auto"/>
      </w:pPr>
      <w:r>
        <w:rPr>
          <w:rFonts w:ascii="Calibri" w:hAnsi="Calibri" w:eastAsia="Calibri" w:cs="Calibri"/>
          <w:b/>
          <w:i w:val="0"/>
          <w:color w:val="1F2937"/>
          <w:sz w:val="21"/>
        </w:rPr>
        <w:t xml:space="preserve">Происхождение. </w:t>
      </w:r>
      <w:r>
        <w:rPr>
          <w:rFonts w:ascii="Calibri" w:hAnsi="Calibri" w:eastAsia="Calibri" w:cs="Calibri"/>
          <w:b w:val="0"/>
          <w:i w:val="0"/>
          <w:color w:val="1F2937"/>
          <w:sz w:val="21"/>
        </w:rPr>
        <w:t>Файлы имеют контрольные суммы, версии, временные метки и журнал преобразований.</w:t>
      </w:r>
    </w:p>
    <w:p>
      <w:pPr>
        <w:pStyle w:val="ListBullet"/>
        <w:keepLines/>
        <w:spacing w:after="60" w:line="288" w:lineRule="auto"/>
      </w:pPr>
      <w:r>
        <w:rPr>
          <w:rFonts w:ascii="Calibri" w:hAnsi="Calibri" w:eastAsia="Calibri" w:cs="Calibri"/>
          <w:b/>
          <w:i w:val="0"/>
          <w:color w:val="1F2937"/>
          <w:sz w:val="21"/>
        </w:rPr>
        <w:t xml:space="preserve">Этика. </w:t>
      </w:r>
      <w:r>
        <w:rPr>
          <w:rFonts w:ascii="Calibri" w:hAnsi="Calibri" w:eastAsia="Calibri" w:cs="Calibri"/>
          <w:b w:val="0"/>
          <w:i w:val="0"/>
          <w:color w:val="1F2937"/>
          <w:sz w:val="21"/>
        </w:rPr>
        <w:t>Регламентируются согласие, минимизация персональных данных, защита уязвимых групп и работа с биоматериалами.</w:t>
      </w:r>
    </w:p>
    <w:p>
      <w:pPr>
        <w:pStyle w:val="ListBullet"/>
        <w:keepLines/>
        <w:spacing w:after="60" w:line="288" w:lineRule="auto"/>
      </w:pPr>
      <w:r>
        <w:rPr>
          <w:rFonts w:ascii="Calibri" w:hAnsi="Calibri" w:eastAsia="Calibri" w:cs="Calibri"/>
          <w:b/>
          <w:i w:val="0"/>
          <w:color w:val="1F2937"/>
          <w:sz w:val="21"/>
        </w:rPr>
        <w:t xml:space="preserve">Безопасность. </w:t>
      </w:r>
      <w:r>
        <w:rPr>
          <w:rFonts w:ascii="Calibri" w:hAnsi="Calibri" w:eastAsia="Calibri" w:cs="Calibri"/>
          <w:b w:val="0"/>
          <w:i w:val="0"/>
          <w:color w:val="1F2937"/>
          <w:sz w:val="21"/>
        </w:rPr>
        <w:t>Доступ строится на ролях и атрибутах; критические операции подписываются и журналируются.</w:t>
      </w:r>
    </w:p>
    <w:p>
      <w:pPr>
        <w:pStyle w:val="ListBullet"/>
        <w:keepLines/>
        <w:spacing w:after="60" w:line="288" w:lineRule="auto"/>
      </w:pPr>
      <w:r>
        <w:rPr>
          <w:rFonts w:ascii="Calibri" w:hAnsi="Calibri" w:eastAsia="Calibri" w:cs="Calibri"/>
          <w:b/>
          <w:i w:val="0"/>
          <w:color w:val="1F2937"/>
          <w:sz w:val="21"/>
        </w:rPr>
        <w:t xml:space="preserve">Апелляция. </w:t>
      </w:r>
      <w:r>
        <w:rPr>
          <w:rFonts w:ascii="Calibri" w:hAnsi="Calibri" w:eastAsia="Calibri" w:cs="Calibri"/>
          <w:b w:val="0"/>
          <w:i w:val="0"/>
          <w:color w:val="1F2937"/>
          <w:sz w:val="21"/>
        </w:rPr>
        <w:t>Автор или организация могут оспорить экспертный статус; спор сохраняется как отдельный объект с доказательствами сторон.</w:t>
      </w:r>
    </w:p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17</w:t>
      </w:r>
    </w:p>
    <w:p>
      <w:pPr>
        <w:pStyle w:val="Heading1"/>
      </w:pPr>
      <w:r>
        <w:t>Финансовая модель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Разные типы деятельности требуют разных горизонтов и правил финансирования.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2600"/>
        <w:gridCol w:w="6760"/>
      </w:tblGrid>
      <w:tr>
        <w:trPr>
          <w:tblHeader w:val="true"/>
          <w:cantSplit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Контур</w:t>
            </w:r>
          </w:p>
        </w:tc>
        <w:tc>
          <w:tcPr>
            <w:tcW w:type="dxa" w:w="6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Назначение</w:t>
            </w:r>
          </w:p>
        </w:tc>
      </w:tr>
      <w:tr>
        <w:trPr>
          <w:cantSplit/>
        </w:trPr>
        <w:tc>
          <w:tcPr>
            <w:tcW w:type="dxa" w:w="26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Базовое институциональное</w:t>
            </w:r>
          </w:p>
        </w:tc>
        <w:tc>
          <w:tcPr>
            <w:tcW w:type="dxa" w:w="67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Научные школы, персонал ядра, архивы, коллекции, длинные ряды наблюдений и базовые лаборатории.</w:t>
            </w:r>
          </w:p>
        </w:tc>
      </w:tr>
      <w:tr>
        <w:trPr>
          <w:cantSplit/>
        </w:trPr>
        <w:tc>
          <w:tcPr>
            <w:tcW w:type="dxa" w:w="26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Инфраструктурное</w:t>
            </w:r>
          </w:p>
        </w:tc>
        <w:tc>
          <w:tcPr>
            <w:tcW w:type="dxa" w:w="67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Уникальные установки, ЦКП, вычисления, экспедиции, станции, ремонт и жизненный цикл оборудования.</w:t>
            </w:r>
          </w:p>
        </w:tc>
      </w:tr>
      <w:tr>
        <w:trPr>
          <w:cantSplit/>
        </w:trPr>
        <w:tc>
          <w:tcPr>
            <w:tcW w:type="dxa" w:w="26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Конкурсное программное</w:t>
            </w:r>
          </w:p>
        </w:tc>
        <w:tc>
          <w:tcPr>
            <w:tcW w:type="dxa" w:w="67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Миссионные исследования и межинститутские программы с независимой экспертизой.</w:t>
            </w:r>
          </w:p>
        </w:tc>
      </w:tr>
      <w:tr>
        <w:trPr>
          <w:cantSplit/>
        </w:trPr>
        <w:tc>
          <w:tcPr>
            <w:tcW w:type="dxa" w:w="26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Проектное соглашение</w:t>
            </w:r>
          </w:p>
        </w:tc>
        <w:tc>
          <w:tcPr>
            <w:tcW w:type="dxa" w:w="67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Пилоты и внедрение через ECO-PPA: цели, исходная линия, обязательства, ресурсы, показатели и верификация.</w:t>
            </w:r>
          </w:p>
        </w:tc>
      </w:tr>
      <w:tr>
        <w:trPr>
          <w:cantSplit/>
        </w:trPr>
        <w:tc>
          <w:tcPr>
            <w:tcW w:type="dxa" w:w="26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Софинансирование</w:t>
            </w:r>
          </w:p>
        </w:tc>
        <w:tc>
          <w:tcPr>
            <w:tcW w:type="dxa" w:w="67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Регионы, компании, фонды и благотворители — при прозрачном конфликте интересов и публикации условий.</w:t>
            </w:r>
          </w:p>
        </w:tc>
      </w:tr>
      <w:tr>
        <w:trPr>
          <w:cantSplit/>
        </w:trPr>
        <w:tc>
          <w:tcPr>
            <w:tcW w:type="dxa" w:w="26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Коммерциализация</w:t>
            </w:r>
          </w:p>
        </w:tc>
        <w:tc>
          <w:tcPr>
            <w:tcW w:type="dxa" w:w="67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Лицензии, сервисы, приборы и технологии; доход не подменяет научную оценку и не закрывает обязательные метаданные.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7" w:space="0" w:color="2E74B5"/>
          <w:left w:val="single" w:sz="7" w:space="0" w:color="2E74B5"/>
          <w:bottom w:val="single" w:sz="7" w:space="0" w:color="2E74B5"/>
          <w:right w:val="single" w:sz="7" w:space="0" w:color="2E74B5"/>
          <w:insideH w:val="single" w:sz="7" w:space="0" w:color="2E74B5"/>
          <w:insideV w:val="single" w:sz="7" w:space="0" w:color="2E74B5"/>
        </w:tblBorders>
      </w:tblPr>
      <w:tblGrid>
        <w:gridCol w:w="9360"/>
      </w:tblGrid>
      <w:tr>
        <w:trPr>
          <w:tblHeader w:val="true"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3F8"/>
          </w:tcPr>
          <w:p>
            <w:pPr>
              <w:spacing w:after="80"/>
            </w:pPr>
            <w:r>
              <w:rPr>
                <w:rFonts w:ascii="Calibri" w:hAnsi="Calibri" w:eastAsia="Calibri" w:cs="Calibri"/>
                <w:b/>
                <w:i w:val="0"/>
                <w:color w:val="2E74B5"/>
                <w:sz w:val="22"/>
              </w:rPr>
              <w:t>Бюджетное правило</w:t>
            </w:r>
          </w:p>
          <w:p>
            <w:pPr>
              <w:spacing w:after="0" w:line="283" w:lineRule="auto"/>
            </w:pPr>
            <w:r>
              <w:rPr>
                <w:rFonts w:ascii="Calibri" w:hAnsi="Calibri" w:eastAsia="Calibri" w:cs="Calibri"/>
                <w:b w:val="0"/>
                <w:i w:val="0"/>
                <w:color w:val="1F2937"/>
                <w:sz w:val="20"/>
              </w:rPr>
              <w:t>Финансирование институтской базы, эксплуатации инфраструктуры и конкретных проектов учитывается раздельно. Это позволяет видеть реальную стоимость научной готовности и не маскировать постоянные расходы краткосрочными грантами.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18</w:t>
      </w:r>
    </w:p>
    <w:p>
      <w:pPr>
        <w:pStyle w:val="Heading1"/>
      </w:pPr>
      <w:r>
        <w:t>Пилотный запуск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Пилот проверяет не только программное обеспечение, но и институциональные правила доверия.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2200"/>
        <w:gridCol w:w="7160"/>
      </w:tblGrid>
      <w:tr>
        <w:trPr>
          <w:tblHeader w:val="true"/>
          <w:cantSplit/>
        </w:trP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Шаг</w:t>
            </w:r>
          </w:p>
        </w:tc>
        <w:tc>
          <w:tcPr>
            <w:tcW w:type="dxa" w:w="7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Результат</w:t>
            </w:r>
          </w:p>
        </w:tc>
      </w:tr>
      <w:tr>
        <w:trPr>
          <w:cantSplit/>
        </w:trPr>
        <w:tc>
          <w:tcPr>
            <w:tcW w:type="dxa" w:w="22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1. Территории</w:t>
            </w:r>
          </w:p>
        </w:tc>
        <w:tc>
          <w:tcPr>
            <w:tcW w:type="dxa" w:w="71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Выбрать 3–5 территорий разных типов: городской агломерации, промышленного узла, речного бассейна, сельскохозяйственного и природного ландшафта.</w:t>
            </w:r>
          </w:p>
        </w:tc>
      </w:tr>
      <w:tr>
        <w:trPr>
          <w:cantSplit/>
        </w:trPr>
        <w:tc>
          <w:tcPr>
            <w:tcW w:type="dxa" w:w="22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2. Исходная линия</w:t>
            </w:r>
          </w:p>
        </w:tc>
        <w:tc>
          <w:tcPr>
            <w:tcW w:type="dxa" w:w="71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Согласовать паспорт территории, ключевые показатели, источники данных, качество и период наблюдения.</w:t>
            </w:r>
          </w:p>
        </w:tc>
      </w:tr>
      <w:tr>
        <w:trPr>
          <w:cantSplit/>
        </w:trPr>
        <w:tc>
          <w:tcPr>
            <w:tcW w:type="dxa" w:w="22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3. Инвентаризация</w:t>
            </w:r>
          </w:p>
        </w:tc>
        <w:tc>
          <w:tcPr>
            <w:tcW w:type="dxa" w:w="71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Описать институты, экспертов, лаборатории, установки, данные, методы и действующие проекты.</w:t>
            </w:r>
          </w:p>
        </w:tc>
      </w:tr>
      <w:tr>
        <w:trPr>
          <w:cantSplit/>
        </w:trPr>
        <w:tc>
          <w:tcPr>
            <w:tcW w:type="dxa" w:w="22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4. Проблемы</w:t>
            </w:r>
          </w:p>
        </w:tc>
        <w:tc>
          <w:tcPr>
            <w:tcW w:type="dxa" w:w="71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Утвердить по 3–5 приоритетных проблем с гипотезами, рисками и проверяемыми целями.</w:t>
            </w:r>
          </w:p>
        </w:tc>
      </w:tr>
      <w:tr>
        <w:trPr>
          <w:cantSplit/>
        </w:trPr>
        <w:tc>
          <w:tcPr>
            <w:tcW w:type="dxa" w:w="22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5. Реестровое ядро</w:t>
            </w:r>
          </w:p>
        </w:tc>
        <w:tc>
          <w:tcPr>
            <w:tcW w:type="dxa" w:w="71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Запустить АР-01, 02, 04, 07, 09, 10, 11, 12, 13 и 16 как минимально достаточный набор.</w:t>
            </w:r>
          </w:p>
        </w:tc>
      </w:tr>
      <w:tr>
        <w:trPr>
          <w:cantSplit/>
        </w:trPr>
        <w:tc>
          <w:tcPr>
            <w:tcW w:type="dxa" w:w="22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6. Консорциумы</w:t>
            </w:r>
          </w:p>
        </w:tc>
        <w:tc>
          <w:tcPr>
            <w:tcW w:type="dxa" w:w="71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Сформировать межинститутские команды, владельцев данных и независимых проверяющих.</w:t>
            </w:r>
          </w:p>
        </w:tc>
      </w:tr>
      <w:tr>
        <w:trPr>
          <w:cantSplit/>
        </w:trPr>
        <w:tc>
          <w:tcPr>
            <w:tcW w:type="dxa" w:w="22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7. Публичный результат</w:t>
            </w:r>
          </w:p>
        </w:tc>
        <w:tc>
          <w:tcPr>
            <w:tcW w:type="dxa" w:w="71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Открытые карточки территорий, методы, ход проектов, показатели и отчёты о проверке.</w:t>
            </w:r>
          </w:p>
        </w:tc>
      </w:tr>
    </w:tbl>
    <w:p>
      <w:pPr>
        <w:pStyle w:val="Heading2"/>
      </w:pPr>
      <w:r>
        <w:rPr>
          <w:rFonts w:ascii="Calibri" w:hAnsi="Calibri" w:eastAsia="Calibri" w:cs="Calibri"/>
          <w:b w:val="0"/>
          <w:i w:val="0"/>
          <w:color w:val="1F2937"/>
          <w:sz w:val="22"/>
        </w:rPr>
        <w:t>Выход пилота через 12 месяцев</w:t>
      </w:r>
    </w:p>
    <w:p>
      <w:pPr>
        <w:pStyle w:val="ListBullet"/>
        <w:keepLines/>
        <w:spacing w:after="60" w:line="288" w:lineRule="auto"/>
      </w:pPr>
      <w:r>
        <w:rPr>
          <w:rFonts w:ascii="Calibri" w:hAnsi="Calibri" w:eastAsia="Calibri" w:cs="Calibri"/>
          <w:b w:val="0"/>
          <w:i w:val="0"/>
          <w:color w:val="1F2937"/>
          <w:sz w:val="21"/>
        </w:rPr>
        <w:t>утверждённые регламенты и паспорт записи;</w:t>
      </w:r>
    </w:p>
    <w:p>
      <w:pPr>
        <w:pStyle w:val="ListBullet"/>
        <w:keepLines/>
        <w:spacing w:after="60" w:line="288" w:lineRule="auto"/>
      </w:pPr>
      <w:r>
        <w:rPr>
          <w:rFonts w:ascii="Calibri" w:hAnsi="Calibri" w:eastAsia="Calibri" w:cs="Calibri"/>
          <w:b w:val="0"/>
          <w:i w:val="0"/>
          <w:color w:val="1F2937"/>
          <w:sz w:val="21"/>
        </w:rPr>
        <w:t>работающий каталог метаданных и граф связей;</w:t>
      </w:r>
    </w:p>
    <w:p>
      <w:pPr>
        <w:pStyle w:val="ListBullet"/>
        <w:keepLines/>
        <w:spacing w:after="60" w:line="288" w:lineRule="auto"/>
      </w:pPr>
      <w:r>
        <w:rPr>
          <w:rFonts w:ascii="Calibri" w:hAnsi="Calibri" w:eastAsia="Calibri" w:cs="Calibri"/>
          <w:b w:val="0"/>
          <w:i w:val="0"/>
          <w:color w:val="1F2937"/>
          <w:sz w:val="21"/>
        </w:rPr>
        <w:t>первые 10 реестров с ответственными владельцами;</w:t>
      </w:r>
    </w:p>
    <w:p>
      <w:pPr>
        <w:pStyle w:val="ListBullet"/>
        <w:keepLines/>
        <w:spacing w:after="60" w:line="288" w:lineRule="auto"/>
      </w:pPr>
      <w:r>
        <w:rPr>
          <w:rFonts w:ascii="Calibri" w:hAnsi="Calibri" w:eastAsia="Calibri" w:cs="Calibri"/>
          <w:b w:val="0"/>
          <w:i w:val="0"/>
          <w:color w:val="1F2937"/>
          <w:sz w:val="21"/>
        </w:rPr>
        <w:t>портфель миссионных проектов на пилотных территориях;</w:t>
      </w:r>
    </w:p>
    <w:p>
      <w:pPr>
        <w:pStyle w:val="ListBullet"/>
        <w:keepLines/>
        <w:spacing w:after="60" w:line="288" w:lineRule="auto"/>
      </w:pPr>
      <w:r>
        <w:rPr>
          <w:rFonts w:ascii="Calibri" w:hAnsi="Calibri" w:eastAsia="Calibri" w:cs="Calibri"/>
          <w:b w:val="0"/>
          <w:i w:val="0"/>
          <w:color w:val="1F2937"/>
          <w:sz w:val="21"/>
        </w:rPr>
        <w:t>не менее двух завершённых циклов независимой проверки;</w:t>
      </w:r>
    </w:p>
    <w:p>
      <w:pPr>
        <w:pStyle w:val="ListBullet"/>
        <w:keepLines/>
        <w:spacing w:after="60" w:line="288" w:lineRule="auto"/>
      </w:pPr>
      <w:r>
        <w:rPr>
          <w:rFonts w:ascii="Calibri" w:hAnsi="Calibri" w:eastAsia="Calibri" w:cs="Calibri"/>
          <w:b w:val="0"/>
          <w:i w:val="0"/>
          <w:color w:val="1F2937"/>
          <w:sz w:val="21"/>
        </w:rPr>
        <w:t>публичный отчёт о качестве данных, дубликатах, пробелах и решениях по масштабированию.</w:t>
      </w:r>
    </w:p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19</w:t>
      </w:r>
    </w:p>
    <w:p>
      <w:pPr>
        <w:pStyle w:val="Heading1"/>
      </w:pPr>
      <w:r>
        <w:t>Дорожная карта на 36 месяцев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Масштабирование следует за проверкой правил, а не предшествует ей.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1450"/>
        <w:gridCol w:w="2600"/>
        <w:gridCol w:w="5310"/>
      </w:tblGrid>
      <w:tr>
        <w:trPr>
          <w:tblHeader w:val="true"/>
          <w:cantSplit/>
        </w:trPr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Срок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Этап</w:t>
            </w:r>
          </w:p>
        </w:tc>
        <w:tc>
          <w:tcPr>
            <w:tcW w:type="dxa" w:w="5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Результат</w:t>
            </w:r>
          </w:p>
        </w:tc>
      </w:tr>
      <w:tr>
        <w:trPr>
          <w:cantSplit/>
        </w:trPr>
        <w:tc>
          <w:tcPr>
            <w:tcW w:type="dxa" w:w="14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0–3 месяца</w:t>
            </w:r>
          </w:p>
        </w:tc>
        <w:tc>
          <w:tcPr>
            <w:tcW w:type="dxa" w:w="26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Нормативное проектирование</w:t>
            </w:r>
          </w:p>
        </w:tc>
        <w:tc>
          <w:tcPr>
            <w:tcW w:type="dxa" w:w="531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Концепция, совет и оператор; положения; онтология; идентификаторы; паспорт; доказательность; критерии пилота.</w:t>
            </w:r>
          </w:p>
        </w:tc>
      </w:tr>
      <w:tr>
        <w:trPr>
          <w:cantSplit/>
        </w:trPr>
        <w:tc>
          <w:tcPr>
            <w:tcW w:type="dxa" w:w="14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4–6 месяцев</w:t>
            </w:r>
          </w:p>
        </w:tc>
        <w:tc>
          <w:tcPr>
            <w:tcW w:type="dxa" w:w="26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Инвентаризация и прототип</w:t>
            </w:r>
          </w:p>
        </w:tc>
        <w:tc>
          <w:tcPr>
            <w:tcW w:type="dxa" w:w="531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Исторические и современные организации; владельцы данных; классификаторы; прототип карточек и интеграций.</w:t>
            </w:r>
          </w:p>
        </w:tc>
      </w:tr>
      <w:tr>
        <w:trPr>
          <w:cantSplit/>
        </w:trPr>
        <w:tc>
          <w:tcPr>
            <w:tcW w:type="dxa" w:w="14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7–12 месяцев</w:t>
            </w:r>
          </w:p>
        </w:tc>
        <w:tc>
          <w:tcPr>
            <w:tcW w:type="dxa" w:w="26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MVP и пилотные территории</w:t>
            </w:r>
          </w:p>
        </w:tc>
        <w:tc>
          <w:tcPr>
            <w:tcW w:type="dxa" w:w="531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Первые 10 реестров; консорциумы; исходная линия; наблюдения; проекты; независимая проверка; публичный портал.</w:t>
            </w:r>
          </w:p>
        </w:tc>
      </w:tr>
      <w:tr>
        <w:trPr>
          <w:cantSplit/>
        </w:trPr>
        <w:tc>
          <w:tcPr>
            <w:tcW w:type="dxa" w:w="14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13–24 месяца</w:t>
            </w:r>
          </w:p>
        </w:tc>
        <w:tc>
          <w:tcPr>
            <w:tcW w:type="dxa" w:w="26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Технологический контур</w:t>
            </w:r>
          </w:p>
        </w:tc>
        <w:tc>
          <w:tcPr>
            <w:tcW w:type="dxa" w:w="531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Все 16 реестров; ЦКП; права; финансирование; модели; ECO-PPA; СПЕЦЗАЩИТА; повторные измерения.</w:t>
            </w:r>
          </w:p>
        </w:tc>
      </w:tr>
      <w:tr>
        <w:trPr>
          <w:cantSplit/>
        </w:trPr>
        <w:tc>
          <w:tcPr>
            <w:tcW w:type="dxa" w:w="14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25–36 месяцев</w:t>
            </w:r>
          </w:p>
        </w:tc>
        <w:tc>
          <w:tcPr>
            <w:tcW w:type="dxa" w:w="26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Масштабирование</w:t>
            </w:r>
          </w:p>
        </w:tc>
        <w:tc>
          <w:tcPr>
            <w:tcW w:type="dxa" w:w="531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Новые институты и регионы; нормативное закрепление; международная совместимость; устойчивое финансирование; аудит.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7" w:space="0" w:color="2E74B5"/>
          <w:left w:val="single" w:sz="7" w:space="0" w:color="2E74B5"/>
          <w:bottom w:val="single" w:sz="7" w:space="0" w:color="2E74B5"/>
          <w:right w:val="single" w:sz="7" w:space="0" w:color="2E74B5"/>
          <w:insideH w:val="single" w:sz="7" w:space="0" w:color="2E74B5"/>
          <w:insideV w:val="single" w:sz="7" w:space="0" w:color="2E74B5"/>
        </w:tblBorders>
      </w:tblPr>
      <w:tblGrid>
        <w:gridCol w:w="9360"/>
      </w:tblGrid>
      <w:tr>
        <w:trPr>
          <w:tblHeader w:val="true"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3F8"/>
          </w:tcPr>
          <w:p>
            <w:pPr>
              <w:spacing w:after="80"/>
            </w:pPr>
            <w:r>
              <w:rPr>
                <w:rFonts w:ascii="Calibri" w:hAnsi="Calibri" w:eastAsia="Calibri" w:cs="Calibri"/>
                <w:b/>
                <w:i w:val="0"/>
                <w:color w:val="2E74B5"/>
                <w:sz w:val="22"/>
              </w:rPr>
              <w:t>Контрольная точка 12 месяцев</w:t>
            </w:r>
          </w:p>
          <w:p>
            <w:pPr>
              <w:spacing w:after="0" w:line="283" w:lineRule="auto"/>
            </w:pPr>
            <w:r>
              <w:rPr>
                <w:rFonts w:ascii="Calibri" w:hAnsi="Calibri" w:eastAsia="Calibri" w:cs="Calibri"/>
                <w:b w:val="0"/>
                <w:i w:val="0"/>
                <w:color w:val="1F2937"/>
                <w:sz w:val="20"/>
              </w:rPr>
              <w:t>Решение о масштабировании принимается только при наличии работающих владельцев данных, устойчивой актуализации, независимой экспертизы и доказанного повторного использования реестров в реальных программах.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20</w:t>
      </w:r>
    </w:p>
    <w:p>
      <w:pPr>
        <w:pStyle w:val="Heading1"/>
      </w:pPr>
      <w:r>
        <w:t>Показатели результата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KPI измеряют качество научно-управленческого контура, а не формальную наполненность базы.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2500"/>
        <w:gridCol w:w="6860"/>
      </w:tblGrid>
      <w:tr>
        <w:trPr>
          <w:tblHeader w:val="true"/>
          <w:cantSplit/>
        </w:trP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Направление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Показатель</w:t>
            </w:r>
          </w:p>
        </w:tc>
      </w:tr>
      <w:tr>
        <w:trPr>
          <w:cantSplit/>
        </w:trPr>
        <w:tc>
          <w:tcPr>
            <w:tcW w:type="dxa" w:w="25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Прослеживаемость</w:t>
            </w:r>
          </w:p>
        </w:tc>
        <w:tc>
          <w:tcPr>
            <w:tcW w:type="dxa" w:w="68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≥ 90% действующих записей имеют источник, владельца, метод/основание и историю версий.</w:t>
            </w:r>
          </w:p>
        </w:tc>
      </w:tr>
      <w:tr>
        <w:trPr>
          <w:cantSplit/>
        </w:trPr>
        <w:tc>
          <w:tcPr>
            <w:tcW w:type="dxa" w:w="25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Идентификация</w:t>
            </w:r>
          </w:p>
        </w:tc>
        <w:tc>
          <w:tcPr>
            <w:tcW w:type="dxa" w:w="68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≥ 95% организаций, людей и результатов связаны с устойчивыми внешними или внутренними идентификаторами.</w:t>
            </w:r>
          </w:p>
        </w:tc>
      </w:tr>
      <w:tr>
        <w:trPr>
          <w:cantSplit/>
        </w:trPr>
        <w:tc>
          <w:tcPr>
            <w:tcW w:type="dxa" w:w="25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Актуальность</w:t>
            </w:r>
          </w:p>
        </w:tc>
        <w:tc>
          <w:tcPr>
            <w:tcW w:type="dxa" w:w="68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≥ 85% записей обновляются в установленный для домена срок; просрочки видимы публично или аудитору.</w:t>
            </w:r>
          </w:p>
        </w:tc>
      </w:tr>
      <w:tr>
        <w:trPr>
          <w:cantSplit/>
        </w:trPr>
        <w:tc>
          <w:tcPr>
            <w:tcW w:type="dxa" w:w="25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Независимая проверка</w:t>
            </w:r>
          </w:p>
        </w:tc>
        <w:tc>
          <w:tcPr>
            <w:tcW w:type="dxa" w:w="68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100% заявленных конечных эффектов имеют внешнего проверяющего и доказательный пакет.</w:t>
            </w:r>
          </w:p>
        </w:tc>
      </w:tr>
      <w:tr>
        <w:trPr>
          <w:cantSplit/>
        </w:trPr>
        <w:tc>
          <w:tcPr>
            <w:tcW w:type="dxa" w:w="25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Повторное использование</w:t>
            </w:r>
          </w:p>
        </w:tc>
        <w:tc>
          <w:tcPr>
            <w:tcW w:type="dxa" w:w="68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Рост числа проектов, повторно использующих данные, методы и инфраструктуру других институтов.</w:t>
            </w:r>
          </w:p>
        </w:tc>
      </w:tr>
      <w:tr>
        <w:trPr>
          <w:cantSplit/>
        </w:trPr>
        <w:tc>
          <w:tcPr>
            <w:tcW w:type="dxa" w:w="25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Межинститутская связность</w:t>
            </w:r>
          </w:p>
        </w:tc>
        <w:tc>
          <w:tcPr>
            <w:tcW w:type="dxa" w:w="68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Доля программ с участием ≥ 3 независимых институтских контуров и территориального узла.</w:t>
            </w:r>
          </w:p>
        </w:tc>
      </w:tr>
      <w:tr>
        <w:trPr>
          <w:cantSplit/>
        </w:trPr>
        <w:tc>
          <w:tcPr>
            <w:tcW w:type="dxa" w:w="25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Инфраструктура</w:t>
            </w:r>
          </w:p>
        </w:tc>
        <w:tc>
          <w:tcPr>
            <w:tcW w:type="dxa" w:w="68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Загрузка ЦКП, доля времени на открытый доступ, время ожидания и стоимость эксплуатации.</w:t>
            </w:r>
          </w:p>
        </w:tc>
      </w:tr>
      <w:tr>
        <w:trPr>
          <w:cantSplit/>
        </w:trPr>
        <w:tc>
          <w:tcPr>
            <w:tcW w:type="dxa" w:w="25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Масштабирование</w:t>
            </w:r>
          </w:p>
        </w:tc>
        <w:tc>
          <w:tcPr>
            <w:tcW w:type="dxa" w:w="68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Число решений, воспроизведённых на второй территории с подтверждённым эффектом.</w:t>
            </w:r>
          </w:p>
        </w:tc>
      </w:tr>
      <w:tr>
        <w:trPr>
          <w:cantSplit/>
        </w:trPr>
        <w:tc>
          <w:tcPr>
            <w:tcW w:type="dxa" w:w="25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Кадры</w:t>
            </w:r>
          </w:p>
        </w:tc>
        <w:tc>
          <w:tcPr>
            <w:tcW w:type="dxa" w:w="68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Подготовленные исследователи, инженеры данных, кураторы и независимые верификаторы.</w:t>
            </w:r>
          </w:p>
        </w:tc>
      </w:tr>
    </w:tbl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21</w:t>
      </w:r>
    </w:p>
    <w:p>
      <w:pPr>
        <w:pStyle w:val="Heading1"/>
      </w:pPr>
      <w:r>
        <w:t>Риски и меры контроля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Ключевые угрозы находятся на пересечении науки, управления, данных и финансирования.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2300"/>
        <w:gridCol w:w="1150"/>
        <w:gridCol w:w="5910"/>
      </w:tblGrid>
      <w:tr>
        <w:trPr>
          <w:tblHeader w:val="true"/>
          <w:cantSplit/>
        </w:trP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Риск</w:t>
            </w:r>
          </w:p>
        </w:tc>
        <w:tc>
          <w:tcPr>
            <w:tcW w:type="dxa" w:w="1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Уровень</w:t>
            </w:r>
          </w:p>
        </w:tc>
        <w:tc>
          <w:tcPr>
            <w:tcW w:type="dxa" w:w="59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Мера контроля</w:t>
            </w:r>
          </w:p>
        </w:tc>
      </w:tr>
      <w:tr>
        <w:trPr>
          <w:cantSplit/>
        </w:trPr>
        <w:tc>
          <w:tcPr>
            <w:tcW w:type="dxa" w:w="23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Политизация научной оценки</w:t>
            </w:r>
          </w:p>
        </w:tc>
        <w:tc>
          <w:tcPr>
            <w:tcW w:type="dxa" w:w="11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Высокий</w:t>
            </w:r>
          </w:p>
        </w:tc>
        <w:tc>
          <w:tcPr>
            <w:tcW w:type="dxa" w:w="591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Независимые советы, публикация мнений меньшинства, апелляция, разделение научной и административной роли.</w:t>
            </w:r>
          </w:p>
        </w:tc>
      </w:tr>
      <w:tr>
        <w:trPr>
          <w:cantSplit/>
        </w:trPr>
        <w:tc>
          <w:tcPr>
            <w:tcW w:type="dxa" w:w="23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Бюрократизация</w:t>
            </w:r>
          </w:p>
        </w:tc>
        <w:tc>
          <w:tcPr>
            <w:tcW w:type="dxa" w:w="11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Высокий</w:t>
            </w:r>
          </w:p>
        </w:tc>
        <w:tc>
          <w:tcPr>
            <w:tcW w:type="dxa" w:w="591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Минимальный паспорт, автоматическое наследование метаданных, измерение времени на ведение и удаление невостребованных полей.</w:t>
            </w:r>
          </w:p>
        </w:tc>
      </w:tr>
      <w:tr>
        <w:trPr>
          <w:cantSplit/>
        </w:trPr>
        <w:tc>
          <w:tcPr>
            <w:tcW w:type="dxa" w:w="23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Дублирование систем</w:t>
            </w:r>
          </w:p>
        </w:tc>
        <w:tc>
          <w:tcPr>
            <w:tcW w:type="dxa" w:w="11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Средний</w:t>
            </w:r>
          </w:p>
        </w:tc>
        <w:tc>
          <w:tcPr>
            <w:tcW w:type="dxa" w:w="591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Интеграционный аудит, ROR/ORCID/DOI, каталог метаданных вместо копирования всех данных.</w:t>
            </w:r>
          </w:p>
        </w:tc>
      </w:tr>
      <w:tr>
        <w:trPr>
          <w:cantSplit/>
        </w:trPr>
        <w:tc>
          <w:tcPr>
            <w:tcW w:type="dxa" w:w="23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Закрытый экспертный круг</w:t>
            </w:r>
          </w:p>
        </w:tc>
        <w:tc>
          <w:tcPr>
            <w:tcW w:type="dxa" w:w="11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Высокий</w:t>
            </w:r>
          </w:p>
        </w:tc>
        <w:tc>
          <w:tcPr>
            <w:tcW w:type="dxa" w:w="591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Ротация, открытые критерии, конфликт интересов, внешние рецензенты и публикация статистики решений.</w:t>
            </w:r>
          </w:p>
        </w:tc>
      </w:tr>
      <w:tr>
        <w:trPr>
          <w:cantSplit/>
        </w:trPr>
        <w:tc>
          <w:tcPr>
            <w:tcW w:type="dxa" w:w="23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Формальные KPI</w:t>
            </w:r>
          </w:p>
        </w:tc>
        <w:tc>
          <w:tcPr>
            <w:tcW w:type="dxa" w:w="11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Высокий</w:t>
            </w:r>
          </w:p>
        </w:tc>
        <w:tc>
          <w:tcPr>
            <w:tcW w:type="dxa" w:w="591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Фокус на повторном использовании, воспроизводимости и подтверждённом эффекте, а не числе записей.</w:t>
            </w:r>
          </w:p>
        </w:tc>
      </w:tr>
      <w:tr>
        <w:trPr>
          <w:cantSplit/>
        </w:trPr>
        <w:tc>
          <w:tcPr>
            <w:tcW w:type="dxa" w:w="23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6"/>
              </w:rPr>
              <w:t>Споры об ИС</w:t>
            </w:r>
          </w:p>
        </w:tc>
        <w:tc>
          <w:tcPr>
            <w:tcW w:type="dxa" w:w="11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Средний</w:t>
            </w:r>
          </w:p>
        </w:tc>
        <w:tc>
          <w:tcPr>
            <w:tcW w:type="dxa" w:w="591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Права и лицензии до начала проекта; типовые соглашения; отдельный реестр АР-14.</w:t>
            </w:r>
          </w:p>
        </w:tc>
      </w:tr>
      <w:tr>
        <w:trPr>
          <w:cantSplit/>
        </w:trPr>
        <w:tc>
          <w:tcPr>
            <w:tcW w:type="dxa" w:w="23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Чувствительные данные</w:t>
            </w:r>
          </w:p>
        </w:tc>
        <w:tc>
          <w:tcPr>
            <w:tcW w:type="dxa" w:w="11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Высокий</w:t>
            </w:r>
          </w:p>
        </w:tc>
        <w:tc>
          <w:tcPr>
            <w:tcW w:type="dxa" w:w="591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Классификация доступа, минимизация, аудит, защищённые вычисления и этическая экспертиза.</w:t>
            </w:r>
          </w:p>
        </w:tc>
      </w:tr>
      <w:tr>
        <w:trPr>
          <w:cantSplit/>
        </w:trPr>
        <w:tc>
          <w:tcPr>
            <w:tcW w:type="dxa" w:w="23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Нестабильное финансирование</w:t>
            </w:r>
          </w:p>
        </w:tc>
        <w:tc>
          <w:tcPr>
            <w:tcW w:type="dxa" w:w="11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Высокий</w:t>
            </w:r>
          </w:p>
        </w:tc>
        <w:tc>
          <w:tcPr>
            <w:tcW w:type="dxa" w:w="591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6"/>
              </w:rPr>
              <w:t>Многолетние обязательства на базовую инфраструктуру и раздельный учёт проектов.</w:t>
            </w:r>
          </w:p>
        </w:tc>
      </w:tr>
    </w:tbl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22</w:t>
      </w:r>
    </w:p>
    <w:p>
      <w:pPr>
        <w:pStyle w:val="Heading1"/>
      </w:pPr>
      <w:r>
        <w:t>Решения для запуска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Предлагаемый пакет первого управленческого заседания.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850"/>
        <w:gridCol w:w="8510"/>
      </w:tblGrid>
      <w:tr>
        <w:trPr>
          <w:tblHeader w:val="true"/>
          <w:cantSplit/>
        </w:trPr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№</w:t>
            </w:r>
          </w:p>
        </w:tc>
        <w:tc>
          <w:tcPr>
            <w:tcW w:type="dxa" w:w="85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Проект решения</w:t>
            </w:r>
          </w:p>
        </w:tc>
      </w:tr>
      <w:tr>
        <w:trPr>
          <w:cantSplit/>
        </w:trPr>
        <w:tc>
          <w:tcPr>
            <w:tcW w:type="dxa" w:w="8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01</w:t>
            </w:r>
          </w:p>
        </w:tc>
        <w:tc>
          <w:tcPr>
            <w:tcW w:type="dxa" w:w="851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Одобрить концепцию и юридическую оговорку о наследии без заявления правопреемства.</w:t>
            </w:r>
          </w:p>
        </w:tc>
      </w:tr>
      <w:tr>
        <w:trPr>
          <w:cantSplit/>
        </w:trPr>
        <w:tc>
          <w:tcPr>
            <w:tcW w:type="dxa" w:w="8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02</w:t>
            </w:r>
          </w:p>
        </w:tc>
        <w:tc>
          <w:tcPr>
            <w:tcW w:type="dxa" w:w="851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Утвердить принципы: федеративность, доказательность, научная свобода, версии, независимая проверка и открытость по умолчанию.</w:t>
            </w:r>
          </w:p>
        </w:tc>
      </w:tr>
      <w:tr>
        <w:trPr>
          <w:cantSplit/>
        </w:trPr>
        <w:tc>
          <w:tcPr>
            <w:tcW w:type="dxa" w:w="8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03</w:t>
            </w:r>
          </w:p>
        </w:tc>
        <w:tc>
          <w:tcPr>
            <w:tcW w:type="dxa" w:w="851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Сформировать Высший академический и Научно-методический советы; утвердить правила конфликта интересов.</w:t>
            </w:r>
          </w:p>
        </w:tc>
      </w:tr>
      <w:tr>
        <w:trPr>
          <w:cantSplit/>
        </w:trPr>
        <w:tc>
          <w:tcPr>
            <w:tcW w:type="dxa" w:w="8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04</w:t>
            </w:r>
          </w:p>
        </w:tc>
        <w:tc>
          <w:tcPr>
            <w:tcW w:type="dxa" w:w="851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Назначить оператора и владельцев 16 доменных реестров; зафиксировать невмешательство оператора в научные выводы.</w:t>
            </w:r>
          </w:p>
        </w:tc>
      </w:tr>
      <w:tr>
        <w:trPr>
          <w:cantSplit/>
        </w:trPr>
        <w:tc>
          <w:tcPr>
            <w:tcW w:type="dxa" w:w="8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05</w:t>
            </w:r>
          </w:p>
        </w:tc>
        <w:tc>
          <w:tcPr>
            <w:tcW w:type="dxa" w:w="851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Утвердить классификаторы первого уровня, единый паспорт объекта и модель доказательности.</w:t>
            </w:r>
          </w:p>
        </w:tc>
      </w:tr>
      <w:tr>
        <w:trPr>
          <w:cantSplit/>
        </w:trPr>
        <w:tc>
          <w:tcPr>
            <w:tcW w:type="dxa" w:w="8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06</w:t>
            </w:r>
          </w:p>
        </w:tc>
        <w:tc>
          <w:tcPr>
            <w:tcW w:type="dxa" w:w="851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Выбрать пилотные территории, институты и независимых верификаторов; назначить владельцев исходной линии.</w:t>
            </w:r>
          </w:p>
        </w:tc>
      </w:tr>
      <w:tr>
        <w:trPr>
          <w:cantSplit/>
        </w:trPr>
        <w:tc>
          <w:tcPr>
            <w:tcW w:type="dxa" w:w="85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07</w:t>
            </w:r>
          </w:p>
        </w:tc>
        <w:tc>
          <w:tcPr>
            <w:tcW w:type="dxa" w:w="851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Утвердить бюджет на 12 месяцев, аудит безопасности, права на данные и публичную отчётность.</w:t>
            </w:r>
          </w:p>
        </w:tc>
      </w:tr>
      <w:tr>
        <w:trPr>
          <w:cantSplit/>
        </w:trPr>
        <w:tc>
          <w:tcPr>
            <w:tcW w:type="dxa" w:w="85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08</w:t>
            </w:r>
          </w:p>
        </w:tc>
        <w:tc>
          <w:tcPr>
            <w:tcW w:type="dxa" w:w="851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Назначить контрольную точку через 6 месяцев и решение о масштабировании через 12 месяцев.</w:t>
            </w:r>
          </w:p>
        </w:tc>
      </w:tr>
    </w:tbl>
    <w:p>
      <w:pPr>
        <w:pStyle w:val="Heading2"/>
      </w:pPr>
      <w:r>
        <w:rPr>
          <w:rFonts w:ascii="Calibri" w:hAnsi="Calibri" w:eastAsia="Calibri" w:cs="Calibri"/>
          <w:b w:val="0"/>
          <w:i w:val="0"/>
          <w:color w:val="1F2937"/>
          <w:sz w:val="22"/>
        </w:rPr>
        <w:t>Итог</w:t>
      </w:r>
    </w:p>
    <w:p>
      <w:pPr>
        <w:pStyle w:val="QuoteBox"/>
      </w:pPr>
      <w:r>
        <w:rPr>
          <w:rFonts w:ascii="Calibri" w:hAnsi="Calibri" w:eastAsia="Calibri" w:cs="Calibri"/>
          <w:b/>
          <w:i w:val="0"/>
          <w:color w:val="17365D"/>
          <w:sz w:val="24"/>
        </w:rPr>
        <w:t>Задача проекта — не собрать ещё одну базу данных и не воспроизвести историческую вертикаль. Задача — восстановить связанность науки: от школы и института до территории, технологии и проверяемого эффекта.</w:t>
      </w:r>
    </w:p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23</w:t>
      </w:r>
    </w:p>
    <w:p>
      <w:pPr>
        <w:pStyle w:val="Heading1"/>
      </w:pPr>
      <w:r>
        <w:t>Приложение A. Типы сущностей исторического реестра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Исторический слой требует особенно строгого различения организационных форм.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</w:tblPr>
      <w:tblGrid>
        <w:gridCol w:w="2600"/>
        <w:gridCol w:w="6760"/>
      </w:tblGrid>
      <w:tr>
        <w:trPr>
          <w:tblHeader w:val="true"/>
          <w:cantSplit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Тип</w:t>
            </w:r>
          </w:p>
        </w:tc>
        <w:tc>
          <w:tcPr>
            <w:tcW w:type="dxa" w:w="6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7365D"/>
                <w:sz w:val="18"/>
              </w:rPr>
              <w:t>Определение для реестра</w:t>
            </w:r>
          </w:p>
        </w:tc>
      </w:tr>
      <w:tr>
        <w:trPr>
          <w:cantSplit/>
        </w:trPr>
        <w:tc>
          <w:tcPr>
            <w:tcW w:type="dxa" w:w="26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Институт</w:t>
            </w:r>
          </w:p>
        </w:tc>
        <w:tc>
          <w:tcPr>
            <w:tcW w:type="dxa" w:w="67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Постоянная научная организация.</w:t>
            </w:r>
          </w:p>
        </w:tc>
      </w:tr>
      <w:tr>
        <w:trPr>
          <w:cantSplit/>
        </w:trPr>
        <w:tc>
          <w:tcPr>
            <w:tcW w:type="dxa" w:w="26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Научный центр</w:t>
            </w:r>
          </w:p>
        </w:tc>
        <w:tc>
          <w:tcPr>
            <w:tcW w:type="dxa" w:w="67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Территориальный или проблемный комплекс нескольких организаций.</w:t>
            </w:r>
          </w:p>
        </w:tc>
      </w:tr>
      <w:tr>
        <w:trPr>
          <w:cantSplit/>
        </w:trPr>
        <w:tc>
          <w:tcPr>
            <w:tcW w:type="dxa" w:w="26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Отделение</w:t>
            </w:r>
          </w:p>
        </w:tc>
        <w:tc>
          <w:tcPr>
            <w:tcW w:type="dxa" w:w="67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Орган управления по дисциплинарному или территориальному принципу.</w:t>
            </w:r>
          </w:p>
        </w:tc>
      </w:tr>
      <w:tr>
        <w:trPr>
          <w:cantSplit/>
        </w:trPr>
        <w:tc>
          <w:tcPr>
            <w:tcW w:type="dxa" w:w="26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Филиал</w:t>
            </w:r>
          </w:p>
        </w:tc>
        <w:tc>
          <w:tcPr>
            <w:tcW w:type="dxa" w:w="67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Территориальное подразделение либо историческое объединение учреждений; смысл зависит от периода.</w:t>
            </w:r>
          </w:p>
        </w:tc>
      </w:tr>
      <w:tr>
        <w:trPr>
          <w:cantSplit/>
        </w:trPr>
        <w:tc>
          <w:tcPr>
            <w:tcW w:type="dxa" w:w="26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Научный совет</w:t>
            </w:r>
          </w:p>
        </w:tc>
        <w:tc>
          <w:tcPr>
            <w:tcW w:type="dxa" w:w="67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Координационный орган без обязательной собственной исследовательской базы.</w:t>
            </w:r>
          </w:p>
        </w:tc>
      </w:tr>
      <w:tr>
        <w:trPr>
          <w:cantSplit/>
        </w:trPr>
        <w:tc>
          <w:tcPr>
            <w:tcW w:type="dxa" w:w="26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Комиссия</w:t>
            </w:r>
          </w:p>
        </w:tc>
        <w:tc>
          <w:tcPr>
            <w:tcW w:type="dxa" w:w="67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Постоянный или временный экспертный орган.</w:t>
            </w:r>
          </w:p>
        </w:tc>
      </w:tr>
      <w:tr>
        <w:trPr>
          <w:cantSplit/>
        </w:trPr>
        <w:tc>
          <w:tcPr>
            <w:tcW w:type="dxa" w:w="26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Экспедиция</w:t>
            </w:r>
          </w:p>
        </w:tc>
        <w:tc>
          <w:tcPr>
            <w:tcW w:type="dxa" w:w="67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Временная исследовательская программа или организационная единица.</w:t>
            </w:r>
          </w:p>
        </w:tc>
      </w:tr>
      <w:tr>
        <w:trPr>
          <w:cantSplit/>
        </w:trPr>
        <w:tc>
          <w:tcPr>
            <w:tcW w:type="dxa" w:w="26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Станция / обсерватория</w:t>
            </w:r>
          </w:p>
        </w:tc>
        <w:tc>
          <w:tcPr>
            <w:tcW w:type="dxa" w:w="67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Научный объект либо специализированное учреждение; тип фиксируется отдельно.</w:t>
            </w:r>
          </w:p>
        </w:tc>
      </w:tr>
      <w:tr>
        <w:trPr>
          <w:cantSplit/>
        </w:trPr>
        <w:tc>
          <w:tcPr>
            <w:tcW w:type="dxa" w:w="26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Конструкторское бюро</w:t>
            </w:r>
          </w:p>
        </w:tc>
        <w:tc>
          <w:tcPr>
            <w:tcW w:type="dxa" w:w="67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Инженерная разработка и подготовка внедрения.</w:t>
            </w:r>
          </w:p>
        </w:tc>
      </w:tr>
      <w:tr>
        <w:trPr>
          <w:cantSplit/>
        </w:trPr>
        <w:tc>
          <w:tcPr>
            <w:tcW w:type="dxa" w:w="260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Опытный завод</w:t>
            </w:r>
          </w:p>
        </w:tc>
        <w:tc>
          <w:tcPr>
            <w:tcW w:type="dxa" w:w="6760"/>
            <w:shd w:fill="F2F4F7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Изготовление и проверка опытных образцов.</w:t>
            </w:r>
          </w:p>
        </w:tc>
      </w:tr>
      <w:tr>
        <w:trPr>
          <w:cantSplit/>
        </w:trPr>
        <w:tc>
          <w:tcPr>
            <w:tcW w:type="dxa" w:w="260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/>
                <w:i w:val="0"/>
                <w:color w:val="1F2937"/>
                <w:sz w:val="18"/>
              </w:rPr>
              <w:t>Архив / библиотека</w:t>
            </w:r>
          </w:p>
        </w:tc>
        <w:tc>
          <w:tcPr>
            <w:tcW w:type="dxa" w:w="6760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8"/>
              </w:rPr>
              <w:t>Хранение, описание и предоставление научного наследия.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7" w:space="0" w:color="2E74B5"/>
          <w:left w:val="single" w:sz="7" w:space="0" w:color="2E74B5"/>
          <w:bottom w:val="single" w:sz="7" w:space="0" w:color="2E74B5"/>
          <w:right w:val="single" w:sz="7" w:space="0" w:color="2E74B5"/>
          <w:insideH w:val="single" w:sz="7" w:space="0" w:color="2E74B5"/>
          <w:insideV w:val="single" w:sz="7" w:space="0" w:color="2E74B5"/>
        </w:tblBorders>
      </w:tblPr>
      <w:tblGrid>
        <w:gridCol w:w="9360"/>
      </w:tblGrid>
      <w:tr>
        <w:trPr>
          <w:tblHeader w:val="true"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3F8"/>
          </w:tcPr>
          <w:p>
            <w:pPr>
              <w:spacing w:after="80"/>
            </w:pPr>
            <w:r>
              <w:rPr>
                <w:rFonts w:ascii="Calibri" w:hAnsi="Calibri" w:eastAsia="Calibri" w:cs="Calibri"/>
                <w:b/>
                <w:i w:val="0"/>
                <w:color w:val="2E74B5"/>
                <w:sz w:val="22"/>
              </w:rPr>
              <w:t>Обязательная временная модель</w:t>
            </w:r>
          </w:p>
          <w:p>
            <w:pPr>
              <w:spacing w:after="0" w:line="283" w:lineRule="auto"/>
            </w:pPr>
            <w:r>
              <w:rPr>
                <w:rFonts w:ascii="Calibri" w:hAnsi="Calibri" w:eastAsia="Calibri" w:cs="Calibri"/>
                <w:b w:val="0"/>
                <w:i w:val="0"/>
                <w:color w:val="1F2937"/>
                <w:sz w:val="20"/>
              </w:rPr>
              <w:t>Для каждого исторического факта фиксируются дата начала и окончания, историческое название, юрисдикция, основание создания или преобразования, предшественник/преемник, источник и уровень достоверности.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Kicker"/>
      </w:pPr>
      <w:r>
        <w:rPr>
          <w:rFonts w:ascii="Calibri" w:hAnsi="Calibri" w:eastAsia="Calibri" w:cs="Calibri"/>
          <w:b/>
          <w:i w:val="0"/>
          <w:color w:val="2E74B5"/>
          <w:sz w:val="18"/>
        </w:rPr>
        <w:t>РАЗДЕЛ 24</w:t>
      </w:r>
    </w:p>
    <w:p>
      <w:pPr>
        <w:pStyle w:val="Heading1"/>
      </w:pPr>
      <w:r>
        <w:t>Приложение B. Источники и стандарты</w:t>
      </w:r>
    </w:p>
    <w:p>
      <w:pPr>
        <w:spacing w:after="200"/>
        <w:jc w:val="left"/>
      </w:pPr>
      <w:r>
        <w:rPr>
          <w:rFonts w:ascii="Calibri" w:hAnsi="Calibri" w:eastAsia="Calibri" w:cs="Calibri"/>
          <w:b w:val="0"/>
          <w:i w:val="0"/>
          <w:color w:val="5B6573"/>
          <w:sz w:val="22"/>
        </w:rPr>
        <w:t>Исторические факты основаны на первичных и официальных материалах; цифровая модель — на открытых международных принципах идентификации и данных.</w:t>
      </w:r>
    </w:p>
    <w:p>
      <w:pPr>
        <w:spacing w:after="100" w:line="264" w:lineRule="auto"/>
        <w:jc w:val="left"/>
      </w:pPr>
      <w:r>
        <w:rPr>
          <w:rFonts w:ascii="Calibri" w:hAnsi="Calibri" w:eastAsia="Calibri" w:cs="Calibri"/>
          <w:b/>
          <w:i w:val="0"/>
          <w:color w:val="2E74B5"/>
          <w:sz w:val="18"/>
        </w:rPr>
        <w:t xml:space="preserve">[H1] </w:t>
      </w:r>
      <w:hyperlink r:id="rId12">
        <w:r>
          <w:rPr>
            <w:rFonts w:ascii="Calibri" w:hAnsi="Calibri"/>
            <w:color w:val="2E74B5"/>
            <w:sz w:val="18"/>
            <w:szCs w:val="18"/>
            <w:u w:val="single"/>
          </w:rPr>
          <w:t>Устав Академии наук СССР 1963 года — оцифрованный первичный текст</w:t>
        </w:r>
      </w:hyperlink>
      <w:r>
        <w:rPr>
          <w:rFonts w:ascii="Calibri" w:hAnsi="Calibri" w:eastAsia="Calibri" w:cs="Calibri"/>
          <w:b w:val="0"/>
          <w:i w:val="0"/>
          <w:color w:val="5B6573"/>
          <w:sz w:val="16"/>
        </w:rPr>
        <w:br/>
        <w:t>https://opentextnn.ru/old/history/historiografy/institut/ran/index.html%40id%3D3878</w:t>
      </w:r>
    </w:p>
    <w:p>
      <w:pPr>
        <w:spacing w:after="100" w:line="264" w:lineRule="auto"/>
        <w:jc w:val="left"/>
      </w:pPr>
      <w:r>
        <w:rPr>
          <w:rFonts w:ascii="Calibri" w:hAnsi="Calibri" w:eastAsia="Calibri" w:cs="Calibri"/>
          <w:b/>
          <w:i w:val="0"/>
          <w:color w:val="2E74B5"/>
          <w:sz w:val="18"/>
        </w:rPr>
        <w:t xml:space="preserve">[H2] </w:t>
      </w:r>
      <w:hyperlink r:id="rId13">
        <w:r>
          <w:rPr>
            <w:rFonts w:ascii="Calibri" w:hAnsi="Calibri"/>
            <w:color w:val="2E74B5"/>
            <w:sz w:val="18"/>
            <w:szCs w:val="18"/>
            <w:u w:val="single"/>
          </w:rPr>
          <w:t>РАН: история Академии в советский период</w:t>
        </w:r>
      </w:hyperlink>
      <w:r>
        <w:rPr>
          <w:rFonts w:ascii="Calibri" w:hAnsi="Calibri" w:eastAsia="Calibri" w:cs="Calibri"/>
          <w:b w:val="0"/>
          <w:i w:val="0"/>
          <w:color w:val="5B6573"/>
          <w:sz w:val="16"/>
        </w:rPr>
        <w:br/>
        <w:t>https://www.ras.ru/about/history/sovietcountry.aspx</w:t>
      </w:r>
    </w:p>
    <w:p>
      <w:pPr>
        <w:spacing w:after="100" w:line="264" w:lineRule="auto"/>
        <w:jc w:val="left"/>
      </w:pPr>
      <w:r>
        <w:rPr>
          <w:rFonts w:ascii="Calibri" w:hAnsi="Calibri" w:eastAsia="Calibri" w:cs="Calibri"/>
          <w:b/>
          <w:i w:val="0"/>
          <w:color w:val="2E74B5"/>
          <w:sz w:val="18"/>
        </w:rPr>
        <w:t xml:space="preserve">[H3] </w:t>
      </w:r>
      <w:hyperlink r:id="rId14">
        <w:r>
          <w:rPr>
            <w:rFonts w:ascii="Calibri" w:hAnsi="Calibri"/>
            <w:color w:val="2E74B5"/>
            <w:sz w:val="18"/>
            <w:szCs w:val="18"/>
            <w:u w:val="single"/>
          </w:rPr>
          <w:t>РАН: официальный статус и правопреемство</w:t>
        </w:r>
      </w:hyperlink>
      <w:r>
        <w:rPr>
          <w:rFonts w:ascii="Calibri" w:hAnsi="Calibri" w:eastAsia="Calibri" w:cs="Calibri"/>
          <w:b w:val="0"/>
          <w:i w:val="0"/>
          <w:color w:val="5B6573"/>
          <w:sz w:val="16"/>
        </w:rPr>
        <w:br/>
        <w:t>https://www.ras.ru/about.aspx</w:t>
      </w:r>
    </w:p>
    <w:p>
      <w:pPr>
        <w:spacing w:after="100" w:line="264" w:lineRule="auto"/>
        <w:jc w:val="left"/>
      </w:pPr>
      <w:r>
        <w:rPr>
          <w:rFonts w:ascii="Calibri" w:hAnsi="Calibri" w:eastAsia="Calibri" w:cs="Calibri"/>
          <w:b/>
          <w:i w:val="0"/>
          <w:color w:val="2E74B5"/>
          <w:sz w:val="18"/>
        </w:rPr>
        <w:t xml:space="preserve">[H4] </w:t>
      </w:r>
      <w:hyperlink r:id="rId15">
        <w:r>
          <w:rPr>
            <w:rFonts w:ascii="Calibri" w:hAnsi="Calibri"/>
            <w:color w:val="2E74B5"/>
            <w:sz w:val="18"/>
            <w:szCs w:val="18"/>
            <w:u w:val="single"/>
          </w:rPr>
          <w:t>СО РАН: история и постановление об образовании</w:t>
        </w:r>
      </w:hyperlink>
      <w:r>
        <w:rPr>
          <w:rFonts w:ascii="Calibri" w:hAnsi="Calibri" w:eastAsia="Calibri" w:cs="Calibri"/>
          <w:b w:val="0"/>
          <w:i w:val="0"/>
          <w:color w:val="5B6573"/>
          <w:sz w:val="16"/>
        </w:rPr>
        <w:br/>
        <w:t>https://web.sbras.ru/ru/cmn/general</w:t>
      </w:r>
    </w:p>
    <w:p>
      <w:pPr>
        <w:spacing w:after="100" w:line="264" w:lineRule="auto"/>
        <w:jc w:val="left"/>
      </w:pPr>
      <w:r>
        <w:rPr>
          <w:rFonts w:ascii="Calibri" w:hAnsi="Calibri" w:eastAsia="Calibri" w:cs="Calibri"/>
          <w:b/>
          <w:i w:val="0"/>
          <w:color w:val="2E74B5"/>
          <w:sz w:val="18"/>
        </w:rPr>
        <w:t xml:space="preserve">[H5] </w:t>
      </w:r>
      <w:hyperlink r:id="rId16">
        <w:r>
          <w:rPr>
            <w:rFonts w:ascii="Calibri" w:hAnsi="Calibri"/>
            <w:color w:val="2E74B5"/>
            <w:sz w:val="18"/>
            <w:szCs w:val="18"/>
            <w:u w:val="single"/>
          </w:rPr>
          <w:t>УрО РАН: историческая справка</w:t>
        </w:r>
      </w:hyperlink>
      <w:r>
        <w:rPr>
          <w:rFonts w:ascii="Calibri" w:hAnsi="Calibri" w:eastAsia="Calibri" w:cs="Calibri"/>
          <w:b w:val="0"/>
          <w:i w:val="0"/>
          <w:color w:val="5B6573"/>
          <w:sz w:val="16"/>
        </w:rPr>
        <w:br/>
        <w:t>https://uran.ru/about/hist</w:t>
      </w:r>
    </w:p>
    <w:p>
      <w:pPr>
        <w:spacing w:after="100" w:line="264" w:lineRule="auto"/>
        <w:jc w:val="left"/>
      </w:pPr>
      <w:r>
        <w:rPr>
          <w:rFonts w:ascii="Calibri" w:hAnsi="Calibri" w:eastAsia="Calibri" w:cs="Calibri"/>
          <w:b/>
          <w:i w:val="0"/>
          <w:color w:val="2E74B5"/>
          <w:sz w:val="18"/>
        </w:rPr>
        <w:t xml:space="preserve">[H6] </w:t>
      </w:r>
      <w:hyperlink r:id="rId17">
        <w:r>
          <w:rPr>
            <w:rFonts w:ascii="Calibri" w:hAnsi="Calibri"/>
            <w:color w:val="2E74B5"/>
            <w:sz w:val="18"/>
            <w:szCs w:val="18"/>
            <w:u w:val="single"/>
          </w:rPr>
          <w:t>ДВО РАН: официальная история</w:t>
        </w:r>
      </w:hyperlink>
      <w:r>
        <w:rPr>
          <w:rFonts w:ascii="Calibri" w:hAnsi="Calibri" w:eastAsia="Calibri" w:cs="Calibri"/>
          <w:b w:val="0"/>
          <w:i w:val="0"/>
          <w:color w:val="5B6573"/>
          <w:sz w:val="16"/>
        </w:rPr>
        <w:br/>
        <w:t>https://new.ras.ru/structures/regionalnye-otdeleniya-ran/dalnevostochnoe-otdelenie-ran/</w:t>
      </w:r>
    </w:p>
    <w:p>
      <w:pPr>
        <w:spacing w:after="100" w:line="264" w:lineRule="auto"/>
        <w:jc w:val="left"/>
      </w:pPr>
      <w:r>
        <w:rPr>
          <w:rFonts w:ascii="Calibri" w:hAnsi="Calibri" w:eastAsia="Calibri" w:cs="Calibri"/>
          <w:b/>
          <w:i w:val="0"/>
          <w:color w:val="2E74B5"/>
          <w:sz w:val="18"/>
        </w:rPr>
        <w:t xml:space="preserve">[H7] </w:t>
      </w:r>
      <w:hyperlink r:id="rId18">
        <w:r>
          <w:rPr>
            <w:rFonts w:ascii="Calibri" w:hAnsi="Calibri"/>
            <w:color w:val="2E74B5"/>
            <w:sz w:val="18"/>
            <w:szCs w:val="18"/>
            <w:u w:val="single"/>
          </w:rPr>
          <w:t>Архив РАН: история учреждения</w:t>
        </w:r>
      </w:hyperlink>
      <w:r>
        <w:rPr>
          <w:rFonts w:ascii="Calibri" w:hAnsi="Calibri" w:eastAsia="Calibri" w:cs="Calibri"/>
          <w:b w:val="0"/>
          <w:i w:val="0"/>
          <w:color w:val="5B6573"/>
          <w:sz w:val="16"/>
        </w:rPr>
        <w:br/>
        <w:t>https://www.arran.ru/node/3</w:t>
      </w:r>
    </w:p>
    <w:p>
      <w:pPr>
        <w:spacing w:after="100" w:line="264" w:lineRule="auto"/>
        <w:jc w:val="left"/>
      </w:pPr>
      <w:r>
        <w:rPr>
          <w:rFonts w:ascii="Calibri" w:hAnsi="Calibri" w:eastAsia="Calibri" w:cs="Calibri"/>
          <w:b/>
          <w:i w:val="0"/>
          <w:color w:val="2E74B5"/>
          <w:sz w:val="18"/>
        </w:rPr>
        <w:t xml:space="preserve">[H8] </w:t>
      </w:r>
      <w:hyperlink r:id="rId19">
        <w:r>
          <w:rPr>
            <w:rFonts w:ascii="Calibri" w:hAnsi="Calibri"/>
            <w:color w:val="2E74B5"/>
            <w:sz w:val="18"/>
            <w:szCs w:val="18"/>
            <w:u w:val="single"/>
          </w:rPr>
          <w:t>БЕН РАН: история академической библиотечной сети</w:t>
        </w:r>
      </w:hyperlink>
      <w:r>
        <w:rPr>
          <w:rFonts w:ascii="Calibri" w:hAnsi="Calibri" w:eastAsia="Calibri" w:cs="Calibri"/>
          <w:b w:val="0"/>
          <w:i w:val="0"/>
          <w:color w:val="5B6573"/>
          <w:sz w:val="16"/>
        </w:rPr>
        <w:br/>
        <w:t>https://www.benran.ru/about-library/library-history/</w:t>
      </w:r>
    </w:p>
    <w:p>
      <w:pPr>
        <w:spacing w:after="100" w:line="264" w:lineRule="auto"/>
        <w:jc w:val="left"/>
      </w:pPr>
      <w:r>
        <w:rPr>
          <w:rFonts w:ascii="Calibri" w:hAnsi="Calibri" w:eastAsia="Calibri" w:cs="Calibri"/>
          <w:b/>
          <w:i w:val="0"/>
          <w:color w:val="2E74B5"/>
          <w:sz w:val="18"/>
        </w:rPr>
        <w:t xml:space="preserve">[D1] </w:t>
      </w:r>
      <w:hyperlink r:id="rId20">
        <w:r>
          <w:rPr>
            <w:rFonts w:ascii="Calibri" w:hAnsi="Calibri"/>
            <w:color w:val="2E74B5"/>
            <w:sz w:val="18"/>
            <w:szCs w:val="18"/>
            <w:u w:val="single"/>
          </w:rPr>
          <w:t>GO FAIR: FAIR Principles</w:t>
        </w:r>
      </w:hyperlink>
      <w:r>
        <w:rPr>
          <w:rFonts w:ascii="Calibri" w:hAnsi="Calibri" w:eastAsia="Calibri" w:cs="Calibri"/>
          <w:b w:val="0"/>
          <w:i w:val="0"/>
          <w:color w:val="5B6573"/>
          <w:sz w:val="16"/>
        </w:rPr>
        <w:br/>
        <w:t>https://www.gofair.us/fair-principles</w:t>
      </w:r>
    </w:p>
    <w:p>
      <w:pPr>
        <w:spacing w:after="100" w:line="264" w:lineRule="auto"/>
        <w:jc w:val="left"/>
      </w:pPr>
      <w:r>
        <w:rPr>
          <w:rFonts w:ascii="Calibri" w:hAnsi="Calibri" w:eastAsia="Calibri" w:cs="Calibri"/>
          <w:b/>
          <w:i w:val="0"/>
          <w:color w:val="2E74B5"/>
          <w:sz w:val="18"/>
        </w:rPr>
        <w:t xml:space="preserve">[D2] </w:t>
      </w:r>
      <w:hyperlink r:id="rId21">
        <w:r>
          <w:rPr>
            <w:rFonts w:ascii="Calibri" w:hAnsi="Calibri"/>
            <w:color w:val="2E74B5"/>
            <w:sz w:val="18"/>
            <w:szCs w:val="18"/>
            <w:u w:val="single"/>
          </w:rPr>
          <w:t>ORCID: устойчивые идентификаторы исследователей</w:t>
        </w:r>
      </w:hyperlink>
      <w:r>
        <w:rPr>
          <w:rFonts w:ascii="Calibri" w:hAnsi="Calibri" w:eastAsia="Calibri" w:cs="Calibri"/>
          <w:b w:val="0"/>
          <w:i w:val="0"/>
          <w:color w:val="5B6573"/>
          <w:sz w:val="16"/>
        </w:rPr>
        <w:br/>
        <w:t>https://info.orcid.org/what-is-orcid/</w:t>
      </w:r>
    </w:p>
    <w:p>
      <w:pPr>
        <w:spacing w:after="100" w:line="264" w:lineRule="auto"/>
        <w:jc w:val="left"/>
      </w:pPr>
      <w:r>
        <w:rPr>
          <w:rFonts w:ascii="Calibri" w:hAnsi="Calibri" w:eastAsia="Calibri" w:cs="Calibri"/>
          <w:b/>
          <w:i w:val="0"/>
          <w:color w:val="2E74B5"/>
          <w:sz w:val="18"/>
        </w:rPr>
        <w:t xml:space="preserve">[D3] </w:t>
      </w:r>
      <w:hyperlink r:id="rId22">
        <w:r>
          <w:rPr>
            <w:rFonts w:ascii="Calibri" w:hAnsi="Calibri"/>
            <w:color w:val="2E74B5"/>
            <w:sz w:val="18"/>
            <w:szCs w:val="18"/>
            <w:u w:val="single"/>
          </w:rPr>
          <w:t>ROR: открытые идентификаторы исследовательских организаций</w:t>
        </w:r>
      </w:hyperlink>
      <w:r>
        <w:rPr>
          <w:rFonts w:ascii="Calibri" w:hAnsi="Calibri" w:eastAsia="Calibri" w:cs="Calibri"/>
          <w:b w:val="0"/>
          <w:i w:val="0"/>
          <w:color w:val="5B6573"/>
          <w:sz w:val="16"/>
        </w:rPr>
        <w:br/>
        <w:t>https://ror.org/about/</w:t>
      </w:r>
    </w:p>
    <w:p>
      <w:pPr>
        <w:spacing w:after="100" w:line="264" w:lineRule="auto"/>
        <w:jc w:val="left"/>
      </w:pPr>
      <w:r>
        <w:rPr>
          <w:rFonts w:ascii="Calibri" w:hAnsi="Calibri" w:eastAsia="Calibri" w:cs="Calibri"/>
          <w:b/>
          <w:i w:val="0"/>
          <w:color w:val="2E74B5"/>
          <w:sz w:val="18"/>
        </w:rPr>
        <w:t xml:space="preserve">[D4] </w:t>
      </w:r>
      <w:hyperlink r:id="rId23">
        <w:r>
          <w:rPr>
            <w:rFonts w:ascii="Calibri" w:hAnsi="Calibri"/>
            <w:color w:val="2E74B5"/>
            <w:sz w:val="18"/>
            <w:szCs w:val="18"/>
            <w:u w:val="single"/>
          </w:rPr>
          <w:t>DataCite: постоянные идентификаторы исследовательских результатов</w:t>
        </w:r>
      </w:hyperlink>
      <w:r>
        <w:rPr>
          <w:rFonts w:ascii="Calibri" w:hAnsi="Calibri" w:eastAsia="Calibri" w:cs="Calibri"/>
          <w:b w:val="0"/>
          <w:i w:val="0"/>
          <w:color w:val="5B6573"/>
          <w:sz w:val="16"/>
        </w:rPr>
        <w:br/>
        <w:t>https://datacite.org/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7" w:space="0" w:color="B7791F"/>
          <w:left w:val="single" w:sz="7" w:space="0" w:color="B7791F"/>
          <w:bottom w:val="single" w:sz="7" w:space="0" w:color="B7791F"/>
          <w:right w:val="single" w:sz="7" w:space="0" w:color="B7791F"/>
          <w:insideH w:val="single" w:sz="7" w:space="0" w:color="B7791F"/>
          <w:insideV w:val="single" w:sz="7" w:space="0" w:color="B7791F"/>
        </w:tblBorders>
      </w:tblPr>
      <w:tblGrid>
        <w:gridCol w:w="9360"/>
      </w:tblGrid>
      <w:tr>
        <w:trPr>
          <w:tblHeader w:val="true"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1CC"/>
          </w:tcPr>
          <w:p>
            <w:pPr>
              <w:spacing w:after="80"/>
            </w:pPr>
            <w:r>
              <w:rPr>
                <w:rFonts w:ascii="Calibri" w:hAnsi="Calibri" w:eastAsia="Calibri" w:cs="Calibri"/>
                <w:b/>
                <w:i w:val="0"/>
                <w:color w:val="B7791F"/>
                <w:sz w:val="22"/>
              </w:rPr>
              <w:t>Предел документа</w:t>
            </w:r>
          </w:p>
          <w:p>
            <w:pPr>
              <w:spacing w:after="0" w:line="283" w:lineRule="auto"/>
            </w:pPr>
            <w:r>
              <w:rPr>
                <w:rFonts w:ascii="Calibri" w:hAnsi="Calibri" w:eastAsia="Calibri" w:cs="Calibri"/>
                <w:b w:val="0"/>
                <w:i w:val="0"/>
                <w:color w:val="1F2937"/>
                <w:sz w:val="20"/>
              </w:rPr>
              <w:t>Это стратегическая концепция и проектная архитектура. Она не заменяет юридическую экспертизу, учредительные документы, положения о реестрах, соглашения с владельцами данных, техническое задание и бюджетное обоснование.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40"/>
      <w:jc w:val="right"/>
    </w:pPr>
    <w:r>
      <w:rPr>
        <w:rFonts w:ascii="Calibri" w:hAnsi="Calibri" w:eastAsia="Calibri" w:cs="Calibri"/>
        <w:b w:val="0"/>
        <w:i w:val="0"/>
        <w:color w:val="5B6573"/>
        <w:sz w:val="17"/>
      </w:rPr>
      <w:t xml:space="preserve">Стратегическая концепция  •  рабочая версия  •  </w:t>
    </w:r>
    <w:r>
      <w:rPr>
        <w:rFonts w:ascii="Calibri" w:hAnsi="Calibri" w:eastAsia="Calibri" w:cs="Calibri"/>
        <w:b w:val="0"/>
        <w:i w:val="0"/>
        <w:color w:val="5B6573"/>
        <w:sz w:val="17"/>
      </w:rPr>
      <w:t xml:space="preserve">Стр. </w:t>
    </w:r>
    <w:r>
      <w:rPr>
        <w:rFonts w:ascii="Calibri" w:hAnsi="Calibri" w:eastAsia="Calibri" w:cs="Calibri"/>
        <w:b w:val="0"/>
        <w:i w:val="0"/>
        <w:color w:val="5B6573"/>
        <w:sz w:val="17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9360"/>
      <w:jc w:val="left"/>
      <w:tblLayout w:type="fixed"/>
      <w:tblLook w:firstColumn="1" w:firstRow="1" w:lastColumn="0" w:lastRow="0" w:noHBand="0" w:noVBand="1" w:val="04A0"/>
      <w:tblInd w:w="120" w:type="dxa"/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</w:tblPr>
    <w:tblGrid>
      <w:gridCol w:w="6800"/>
      <w:gridCol w:w="2560"/>
    </w:tblGrid>
    <w:tr>
      <w:trPr>
        <w:tblHeader w:val="true"/>
      </w:trPr>
      <w:tc>
        <w:tcPr>
          <w:tcW w:type="dxa" w:w="6800"/>
          <w:tcMar>
            <w:top w:w="80" w:type="dxa"/>
            <w:start w:w="120" w:type="dxa"/>
            <w:bottom w:w="80" w:type="dxa"/>
            <w:end w:w="120" w:type="dxa"/>
          </w:tcMar>
          <w:vAlign w:val="center"/>
        </w:tcPr>
        <w:p>
          <w:pPr>
            <w:spacing w:after="0" w:line="259" w:lineRule="auto"/>
            <w:jc w:val="left"/>
          </w:pPr>
          <w:r/>
          <w:r>
            <w:rPr>
              <w:rFonts w:ascii="Calibri" w:hAnsi="Calibri" w:eastAsia="Calibri" w:cs="Calibri"/>
              <w:b/>
              <w:i w:val="0"/>
              <w:color w:val="2E74B5"/>
              <w:sz w:val="17"/>
            </w:rPr>
            <w:t>ВОЗРОЖДЕНИЕ ЗЕМЛИ</w:t>
          </w:r>
        </w:p>
      </w:tc>
      <w:tc>
        <w:tcPr>
          <w:tcW w:type="dxa" w:w="2560"/>
          <w:tcMar>
            <w:top w:w="80" w:type="dxa"/>
            <w:start w:w="120" w:type="dxa"/>
            <w:bottom w:w="80" w:type="dxa"/>
            <w:end w:w="120" w:type="dxa"/>
          </w:tcMar>
          <w:vAlign w:val="center"/>
        </w:tcPr>
        <w:p>
          <w:pPr>
            <w:spacing w:after="0" w:line="259" w:lineRule="auto"/>
            <w:jc w:val="right"/>
          </w:pPr>
          <w:r/>
          <w:r>
            <w:rPr>
              <w:rFonts w:ascii="Calibri" w:hAnsi="Calibri" w:eastAsia="Calibri" w:cs="Calibri"/>
              <w:b/>
              <w:i w:val="0"/>
              <w:color w:val="5B6573"/>
              <w:sz w:val="17"/>
            </w:rPr>
            <w:t>АКАДЕМИЧЕСКИЕ РЕЕСТРЫ</w:t>
          </w:r>
        </w:p>
      </w:tc>
    </w:tr>
  </w:tbl>
  <w:p>
    <w:pPr>
      <w:spacing w:after="0"/>
      <w:pBdr>
        <w:bottom w:val="single" w:sz="12" w:space="1" w:color="DDEBF7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60" w:line="320" w:lineRule="auto"/>
      <w:jc w:val="both"/>
    </w:pPr>
    <w:rPr>
      <w:rFonts w:ascii="Calibri" w:hAnsi="Calibri"/>
      <w:color w:val="1F29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360" w:after="200"/>
      <w:jc w:val="left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240" w:after="120"/>
      <w:jc w:val="left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widowControl/>
      <w:spacing w:before="160" w:after="80"/>
      <w:jc w:val="left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pBdr>
        <w:bottom w:val="single" w:sz="8" w:space="4" w:color="4F81BD" w:themeColor="accent1"/>
      </w:pBdr>
      <w:spacing w:after="16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/>
      <w:b/>
      <w:color w:val="17365D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widowControl/>
      <w:numPr>
        <w:ilvl w:val="1"/>
      </w:numPr>
      <w:spacing w:before="0" w:after="200"/>
      <w:jc w:val="left"/>
    </w:pPr>
    <w:rPr>
      <w:rFonts w:asciiTheme="majorHAnsi" w:eastAsiaTheme="majorEastAsia" w:hAnsiTheme="majorHAnsi" w:cstheme="majorBidi" w:ascii="Calibri" w:hAnsi="Calibri"/>
      <w:b w:val="0"/>
      <w:i/>
      <w:iCs/>
      <w:color w:val="5B6573"/>
      <w:spacing w:val="15"/>
      <w:sz w:val="3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widowControl/>
      <w:numPr>
        <w:numId w:val="1"/>
      </w:numPr>
      <w:spacing w:after="80" w:line="290" w:lineRule="auto"/>
      <w:ind w:left="540" w:hanging="279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widowControl/>
      <w:numPr>
        <w:numId w:val="2"/>
      </w:numPr>
      <w:spacing w:after="80" w:line="290" w:lineRule="auto"/>
      <w:ind w:left="1080" w:hanging="279"/>
      <w:contextualSpacing/>
    </w:pPr>
    <w:rPr>
      <w:rFonts w:ascii="Calibri" w:hAnsi="Calibri"/>
      <w:sz w:val="22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widowControl/>
      <w:numPr>
        <w:numId w:val="5"/>
      </w:numPr>
      <w:spacing w:after="80" w:line="290" w:lineRule="auto"/>
      <w:ind w:left="540" w:hanging="279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widowControl/>
      <w:numPr>
        <w:numId w:val="6"/>
      </w:numPr>
      <w:spacing w:after="80" w:line="290" w:lineRule="auto"/>
      <w:ind w:left="1080" w:hanging="279"/>
      <w:contextualSpacing/>
    </w:pPr>
    <w:rPr>
      <w:rFonts w:ascii="Calibri" w:hAnsi="Calibri"/>
      <w:sz w:val="22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Kicker">
    <w:name w:val="Kicker"/>
    <w:pPr>
      <w:keepNext/>
      <w:spacing w:after="100"/>
    </w:pPr>
    <w:rPr>
      <w:rFonts w:ascii="Calibri" w:hAnsi="Calibri"/>
      <w:b/>
      <w:color w:val="2E74B5"/>
      <w:sz w:val="18"/>
    </w:rPr>
  </w:style>
  <w:style w:type="paragraph" w:customStyle="1" w:styleId="QuoteBox">
    <w:name w:val="Quote Box"/>
    <w:pPr>
      <w:keepLines/>
      <w:spacing w:before="120" w:after="120" w:line="283" w:lineRule="auto"/>
      <w:ind w:left="259" w:right="259"/>
    </w:pPr>
    <w:rPr>
      <w:rFonts w:ascii="Calibri" w:hAnsi="Calibri"/>
      <w:b/>
      <w:color w:val="17365D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yperlink" Target="https://opentextnn.ru/old/history/historiografy/institut/ran/index.html%40id%3D3878" TargetMode="External"/><Relationship Id="rId13" Type="http://schemas.openxmlformats.org/officeDocument/2006/relationships/hyperlink" Target="https://www.ras.ru/about/history/sovietcountry.aspx" TargetMode="External"/><Relationship Id="rId14" Type="http://schemas.openxmlformats.org/officeDocument/2006/relationships/hyperlink" Target="https://www.ras.ru/about.aspx" TargetMode="External"/><Relationship Id="rId15" Type="http://schemas.openxmlformats.org/officeDocument/2006/relationships/hyperlink" Target="https://web.sbras.ru/ru/cmn/general" TargetMode="External"/><Relationship Id="rId16" Type="http://schemas.openxmlformats.org/officeDocument/2006/relationships/hyperlink" Target="https://uran.ru/about/hist" TargetMode="External"/><Relationship Id="rId17" Type="http://schemas.openxmlformats.org/officeDocument/2006/relationships/hyperlink" Target="https://new.ras.ru/structures/regionalnye-otdeleniya-ran/dalnevostochnoe-otdelenie-ran/" TargetMode="External"/><Relationship Id="rId18" Type="http://schemas.openxmlformats.org/officeDocument/2006/relationships/hyperlink" Target="https://www.arran.ru/node/3" TargetMode="External"/><Relationship Id="rId19" Type="http://schemas.openxmlformats.org/officeDocument/2006/relationships/hyperlink" Target="https://www.benran.ru/about-library/library-history/" TargetMode="External"/><Relationship Id="rId20" Type="http://schemas.openxmlformats.org/officeDocument/2006/relationships/hyperlink" Target="https://www.gofair.us/fair-principles" TargetMode="External"/><Relationship Id="rId21" Type="http://schemas.openxmlformats.org/officeDocument/2006/relationships/hyperlink" Target="https://info.orcid.org/what-is-orcid/" TargetMode="External"/><Relationship Id="rId22" Type="http://schemas.openxmlformats.org/officeDocument/2006/relationships/hyperlink" Target="https://ror.org/about/" TargetMode="External"/><Relationship Id="rId23" Type="http://schemas.openxmlformats.org/officeDocument/2006/relationships/hyperlink" Target="https://datacite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Инфраструктура институтов Академии наук СССР для программы «Возрождение Земли»: Академические реестры</dc:title>
  <dc:subject>Стратегическая концепция академической инфраструктуры и системы реестров</dc:subject>
  <dc:creator>OpenAI</dc:creator>
  <cp:keywords>Возрождение Земли, Академия наук СССР, академические реестры, научная инфраструктура</cp:keywords>
  <dc:description>Рабочая стратегическая концепция; исторические факты отделены от проектных предложений.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